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5A6C" w14:textId="77777777" w:rsidR="00A3466F" w:rsidRPr="00A85832" w:rsidRDefault="00A3466F" w:rsidP="00A3466F">
      <w:pPr>
        <w:jc w:val="center"/>
        <w:rPr>
          <w:sz w:val="36"/>
          <w:szCs w:val="36"/>
        </w:rPr>
      </w:pPr>
      <w:r w:rsidRPr="00A85832">
        <w:rPr>
          <w:sz w:val="36"/>
          <w:szCs w:val="36"/>
        </w:rPr>
        <w:t>Canal &amp; River Trust</w:t>
      </w:r>
    </w:p>
    <w:p w14:paraId="0A41E63C" w14:textId="77777777" w:rsidR="00A3466F" w:rsidRPr="00A85832" w:rsidRDefault="00A3466F" w:rsidP="00A3466F">
      <w:pPr>
        <w:jc w:val="center"/>
        <w:rPr>
          <w:sz w:val="36"/>
          <w:szCs w:val="36"/>
        </w:rPr>
      </w:pPr>
      <w:r w:rsidRPr="00A85832">
        <w:rPr>
          <w:sz w:val="36"/>
          <w:szCs w:val="36"/>
        </w:rPr>
        <w:t>Making life better by water</w:t>
      </w:r>
    </w:p>
    <w:p w14:paraId="1D2A4F29" w14:textId="77777777" w:rsidR="00A3466F" w:rsidRPr="00A85832" w:rsidRDefault="00A3466F" w:rsidP="00A3466F">
      <w:pPr>
        <w:jc w:val="center"/>
        <w:rPr>
          <w:sz w:val="36"/>
          <w:szCs w:val="36"/>
        </w:rPr>
      </w:pPr>
      <w:r w:rsidRPr="00A85832">
        <w:rPr>
          <w:sz w:val="36"/>
          <w:szCs w:val="36"/>
        </w:rPr>
        <w:t>Boater Census Survey 2022 Results</w:t>
      </w:r>
    </w:p>
    <w:p w14:paraId="7B2B96AE" w14:textId="77777777" w:rsidR="00A3466F" w:rsidRDefault="00A3466F" w:rsidP="00A3466F">
      <w:pPr>
        <w:rPr>
          <w:highlight w:val="green"/>
        </w:rPr>
      </w:pPr>
    </w:p>
    <w:p w14:paraId="524099A8" w14:textId="77777777" w:rsidR="00A3466F" w:rsidRDefault="00A3466F" w:rsidP="00A3466F">
      <w:pPr>
        <w:rPr>
          <w:highlight w:val="green"/>
        </w:rPr>
      </w:pPr>
    </w:p>
    <w:sdt>
      <w:sdtPr>
        <w:rPr>
          <w:rFonts w:asciiTheme="minorHAnsi" w:eastAsiaTheme="minorHAnsi" w:hAnsiTheme="minorHAnsi" w:cstheme="minorBidi"/>
          <w:color w:val="auto"/>
          <w:sz w:val="22"/>
          <w:szCs w:val="22"/>
          <w:lang w:val="en-GB"/>
        </w:rPr>
        <w:id w:val="-1138869194"/>
        <w:docPartObj>
          <w:docPartGallery w:val="Table of Contents"/>
          <w:docPartUnique/>
        </w:docPartObj>
      </w:sdtPr>
      <w:sdtEndPr>
        <w:rPr>
          <w:b/>
          <w:bCs/>
          <w:noProof/>
        </w:rPr>
      </w:sdtEndPr>
      <w:sdtContent>
        <w:p w14:paraId="13539308" w14:textId="77777777" w:rsidR="00A3466F" w:rsidRDefault="00A3466F" w:rsidP="00A3466F">
          <w:pPr>
            <w:pStyle w:val="TOCHeading"/>
          </w:pPr>
          <w:r>
            <w:t>Contents</w:t>
          </w:r>
        </w:p>
        <w:p w14:paraId="083C5AF3" w14:textId="77777777" w:rsidR="00A3466F" w:rsidRDefault="00A3466F" w:rsidP="00A3466F">
          <w:pPr>
            <w:pStyle w:val="TOC1"/>
            <w:tabs>
              <w:tab w:val="right" w:leader="dot" w:pos="9016"/>
            </w:tabs>
            <w:rPr>
              <w:noProof/>
            </w:rPr>
          </w:pPr>
          <w:r>
            <w:fldChar w:fldCharType="begin"/>
          </w:r>
          <w:r>
            <w:instrText xml:space="preserve"> TOC \o "1-3" \h \z \u </w:instrText>
          </w:r>
          <w:r>
            <w:fldChar w:fldCharType="separate"/>
          </w:r>
          <w:hyperlink w:anchor="_Toc132711568" w:history="1">
            <w:r w:rsidRPr="002E6A2B">
              <w:rPr>
                <w:rStyle w:val="Hyperlink"/>
                <w:noProof/>
              </w:rPr>
              <w:t>Using this data</w:t>
            </w:r>
            <w:r>
              <w:rPr>
                <w:noProof/>
                <w:webHidden/>
              </w:rPr>
              <w:tab/>
            </w:r>
            <w:r>
              <w:rPr>
                <w:noProof/>
                <w:webHidden/>
              </w:rPr>
              <w:fldChar w:fldCharType="begin"/>
            </w:r>
            <w:r>
              <w:rPr>
                <w:noProof/>
                <w:webHidden/>
              </w:rPr>
              <w:instrText xml:space="preserve"> PAGEREF _Toc132711568 \h </w:instrText>
            </w:r>
            <w:r>
              <w:rPr>
                <w:noProof/>
                <w:webHidden/>
              </w:rPr>
            </w:r>
            <w:r>
              <w:rPr>
                <w:noProof/>
                <w:webHidden/>
              </w:rPr>
              <w:fldChar w:fldCharType="separate"/>
            </w:r>
            <w:r>
              <w:rPr>
                <w:noProof/>
                <w:webHidden/>
              </w:rPr>
              <w:t>2</w:t>
            </w:r>
            <w:r>
              <w:rPr>
                <w:noProof/>
                <w:webHidden/>
              </w:rPr>
              <w:fldChar w:fldCharType="end"/>
            </w:r>
          </w:hyperlink>
        </w:p>
        <w:p w14:paraId="0E79C2DE" w14:textId="77777777" w:rsidR="00A3466F" w:rsidRDefault="00000000" w:rsidP="00A3466F">
          <w:pPr>
            <w:pStyle w:val="TOC1"/>
            <w:tabs>
              <w:tab w:val="right" w:leader="dot" w:pos="9016"/>
            </w:tabs>
            <w:rPr>
              <w:noProof/>
            </w:rPr>
          </w:pPr>
          <w:hyperlink w:anchor="_Toc132711569" w:history="1">
            <w:r w:rsidR="00A3466F" w:rsidRPr="002E6A2B">
              <w:rPr>
                <w:rStyle w:val="Hyperlink"/>
                <w:noProof/>
              </w:rPr>
              <w:t>About the survey</w:t>
            </w:r>
            <w:r w:rsidR="00A3466F">
              <w:rPr>
                <w:noProof/>
                <w:webHidden/>
              </w:rPr>
              <w:tab/>
            </w:r>
            <w:r w:rsidR="00A3466F">
              <w:rPr>
                <w:noProof/>
                <w:webHidden/>
              </w:rPr>
              <w:fldChar w:fldCharType="begin"/>
            </w:r>
            <w:r w:rsidR="00A3466F">
              <w:rPr>
                <w:noProof/>
                <w:webHidden/>
              </w:rPr>
              <w:instrText xml:space="preserve"> PAGEREF _Toc132711569 \h </w:instrText>
            </w:r>
            <w:r w:rsidR="00A3466F">
              <w:rPr>
                <w:noProof/>
                <w:webHidden/>
              </w:rPr>
            </w:r>
            <w:r w:rsidR="00A3466F">
              <w:rPr>
                <w:noProof/>
                <w:webHidden/>
              </w:rPr>
              <w:fldChar w:fldCharType="separate"/>
            </w:r>
            <w:r w:rsidR="00A3466F">
              <w:rPr>
                <w:noProof/>
                <w:webHidden/>
              </w:rPr>
              <w:t>3</w:t>
            </w:r>
            <w:r w:rsidR="00A3466F">
              <w:rPr>
                <w:noProof/>
                <w:webHidden/>
              </w:rPr>
              <w:fldChar w:fldCharType="end"/>
            </w:r>
          </w:hyperlink>
        </w:p>
        <w:p w14:paraId="70358707" w14:textId="77777777" w:rsidR="00A3466F" w:rsidRDefault="00000000" w:rsidP="00A3466F">
          <w:pPr>
            <w:pStyle w:val="TOC1"/>
            <w:tabs>
              <w:tab w:val="right" w:leader="dot" w:pos="9016"/>
            </w:tabs>
            <w:rPr>
              <w:noProof/>
            </w:rPr>
          </w:pPr>
          <w:hyperlink w:anchor="_Toc132711570" w:history="1">
            <w:r w:rsidR="00A3466F" w:rsidRPr="002E6A2B">
              <w:rPr>
                <w:rStyle w:val="Hyperlink"/>
                <w:noProof/>
              </w:rPr>
              <w:t>Response</w:t>
            </w:r>
            <w:r w:rsidR="00A3466F">
              <w:rPr>
                <w:noProof/>
                <w:webHidden/>
              </w:rPr>
              <w:tab/>
            </w:r>
            <w:r w:rsidR="00A3466F">
              <w:rPr>
                <w:noProof/>
                <w:webHidden/>
              </w:rPr>
              <w:fldChar w:fldCharType="begin"/>
            </w:r>
            <w:r w:rsidR="00A3466F">
              <w:rPr>
                <w:noProof/>
                <w:webHidden/>
              </w:rPr>
              <w:instrText xml:space="preserve"> PAGEREF _Toc132711570 \h </w:instrText>
            </w:r>
            <w:r w:rsidR="00A3466F">
              <w:rPr>
                <w:noProof/>
                <w:webHidden/>
              </w:rPr>
            </w:r>
            <w:r w:rsidR="00A3466F">
              <w:rPr>
                <w:noProof/>
                <w:webHidden/>
              </w:rPr>
              <w:fldChar w:fldCharType="separate"/>
            </w:r>
            <w:r w:rsidR="00A3466F">
              <w:rPr>
                <w:noProof/>
                <w:webHidden/>
              </w:rPr>
              <w:t>3</w:t>
            </w:r>
            <w:r w:rsidR="00A3466F">
              <w:rPr>
                <w:noProof/>
                <w:webHidden/>
              </w:rPr>
              <w:fldChar w:fldCharType="end"/>
            </w:r>
          </w:hyperlink>
        </w:p>
        <w:p w14:paraId="508A0337" w14:textId="77777777" w:rsidR="00A3466F" w:rsidRDefault="00000000" w:rsidP="00A3466F">
          <w:pPr>
            <w:pStyle w:val="TOC1"/>
            <w:tabs>
              <w:tab w:val="right" w:leader="dot" w:pos="9016"/>
            </w:tabs>
            <w:rPr>
              <w:noProof/>
            </w:rPr>
          </w:pPr>
          <w:hyperlink w:anchor="_Toc132711571" w:history="1">
            <w:r w:rsidR="00A3466F" w:rsidRPr="002E6A2B">
              <w:rPr>
                <w:rStyle w:val="Hyperlink"/>
                <w:noProof/>
              </w:rPr>
              <w:t>About the boaters</w:t>
            </w:r>
            <w:r w:rsidR="00A3466F">
              <w:rPr>
                <w:noProof/>
                <w:webHidden/>
              </w:rPr>
              <w:tab/>
            </w:r>
            <w:r w:rsidR="00A3466F">
              <w:rPr>
                <w:noProof/>
                <w:webHidden/>
              </w:rPr>
              <w:fldChar w:fldCharType="begin"/>
            </w:r>
            <w:r w:rsidR="00A3466F">
              <w:rPr>
                <w:noProof/>
                <w:webHidden/>
              </w:rPr>
              <w:instrText xml:space="preserve"> PAGEREF _Toc132711571 \h </w:instrText>
            </w:r>
            <w:r w:rsidR="00A3466F">
              <w:rPr>
                <w:noProof/>
                <w:webHidden/>
              </w:rPr>
            </w:r>
            <w:r w:rsidR="00A3466F">
              <w:rPr>
                <w:noProof/>
                <w:webHidden/>
              </w:rPr>
              <w:fldChar w:fldCharType="separate"/>
            </w:r>
            <w:r w:rsidR="00A3466F">
              <w:rPr>
                <w:noProof/>
                <w:webHidden/>
              </w:rPr>
              <w:t>4</w:t>
            </w:r>
            <w:r w:rsidR="00A3466F">
              <w:rPr>
                <w:noProof/>
                <w:webHidden/>
              </w:rPr>
              <w:fldChar w:fldCharType="end"/>
            </w:r>
          </w:hyperlink>
        </w:p>
        <w:p w14:paraId="59AA2F91" w14:textId="77777777" w:rsidR="00A3466F" w:rsidRDefault="00000000" w:rsidP="00A3466F">
          <w:pPr>
            <w:pStyle w:val="TOC1"/>
            <w:tabs>
              <w:tab w:val="right" w:leader="dot" w:pos="9016"/>
            </w:tabs>
            <w:rPr>
              <w:noProof/>
            </w:rPr>
          </w:pPr>
          <w:hyperlink w:anchor="_Toc132711572" w:history="1">
            <w:r w:rsidR="00A3466F" w:rsidRPr="002E6A2B">
              <w:rPr>
                <w:rStyle w:val="Hyperlink"/>
                <w:noProof/>
              </w:rPr>
              <w:t>Disabilities and benefits</w:t>
            </w:r>
            <w:r w:rsidR="00A3466F">
              <w:rPr>
                <w:noProof/>
                <w:webHidden/>
              </w:rPr>
              <w:tab/>
            </w:r>
            <w:r w:rsidR="00A3466F">
              <w:rPr>
                <w:noProof/>
                <w:webHidden/>
              </w:rPr>
              <w:fldChar w:fldCharType="begin"/>
            </w:r>
            <w:r w:rsidR="00A3466F">
              <w:rPr>
                <w:noProof/>
                <w:webHidden/>
              </w:rPr>
              <w:instrText xml:space="preserve"> PAGEREF _Toc132711572 \h </w:instrText>
            </w:r>
            <w:r w:rsidR="00A3466F">
              <w:rPr>
                <w:noProof/>
                <w:webHidden/>
              </w:rPr>
            </w:r>
            <w:r w:rsidR="00A3466F">
              <w:rPr>
                <w:noProof/>
                <w:webHidden/>
              </w:rPr>
              <w:fldChar w:fldCharType="separate"/>
            </w:r>
            <w:r w:rsidR="00A3466F">
              <w:rPr>
                <w:noProof/>
                <w:webHidden/>
              </w:rPr>
              <w:t>5</w:t>
            </w:r>
            <w:r w:rsidR="00A3466F">
              <w:rPr>
                <w:noProof/>
                <w:webHidden/>
              </w:rPr>
              <w:fldChar w:fldCharType="end"/>
            </w:r>
          </w:hyperlink>
        </w:p>
        <w:p w14:paraId="70EFBEAA" w14:textId="77777777" w:rsidR="00A3466F" w:rsidRDefault="00000000" w:rsidP="00A3466F">
          <w:pPr>
            <w:pStyle w:val="TOC2"/>
            <w:tabs>
              <w:tab w:val="right" w:leader="dot" w:pos="9016"/>
            </w:tabs>
            <w:rPr>
              <w:noProof/>
            </w:rPr>
          </w:pPr>
          <w:hyperlink w:anchor="_Toc132711573" w:history="1">
            <w:r w:rsidR="00A3466F" w:rsidRPr="002E6A2B">
              <w:rPr>
                <w:rStyle w:val="Hyperlink"/>
                <w:noProof/>
              </w:rPr>
              <w:t>Disabilities</w:t>
            </w:r>
            <w:r w:rsidR="00A3466F">
              <w:rPr>
                <w:noProof/>
                <w:webHidden/>
              </w:rPr>
              <w:tab/>
            </w:r>
            <w:r w:rsidR="00A3466F">
              <w:rPr>
                <w:noProof/>
                <w:webHidden/>
              </w:rPr>
              <w:fldChar w:fldCharType="begin"/>
            </w:r>
            <w:r w:rsidR="00A3466F">
              <w:rPr>
                <w:noProof/>
                <w:webHidden/>
              </w:rPr>
              <w:instrText xml:space="preserve"> PAGEREF _Toc132711573 \h </w:instrText>
            </w:r>
            <w:r w:rsidR="00A3466F">
              <w:rPr>
                <w:noProof/>
                <w:webHidden/>
              </w:rPr>
            </w:r>
            <w:r w:rsidR="00A3466F">
              <w:rPr>
                <w:noProof/>
                <w:webHidden/>
              </w:rPr>
              <w:fldChar w:fldCharType="separate"/>
            </w:r>
            <w:r w:rsidR="00A3466F">
              <w:rPr>
                <w:noProof/>
                <w:webHidden/>
              </w:rPr>
              <w:t>5</w:t>
            </w:r>
            <w:r w:rsidR="00A3466F">
              <w:rPr>
                <w:noProof/>
                <w:webHidden/>
              </w:rPr>
              <w:fldChar w:fldCharType="end"/>
            </w:r>
          </w:hyperlink>
        </w:p>
        <w:p w14:paraId="38727CAA" w14:textId="77777777" w:rsidR="00A3466F" w:rsidRDefault="00000000" w:rsidP="00A3466F">
          <w:pPr>
            <w:pStyle w:val="TOC2"/>
            <w:tabs>
              <w:tab w:val="right" w:leader="dot" w:pos="9016"/>
            </w:tabs>
            <w:rPr>
              <w:noProof/>
            </w:rPr>
          </w:pPr>
          <w:hyperlink w:anchor="_Toc132711574" w:history="1">
            <w:r w:rsidR="00A3466F" w:rsidRPr="002E6A2B">
              <w:rPr>
                <w:rStyle w:val="Hyperlink"/>
                <w:noProof/>
              </w:rPr>
              <w:t>Benefits</w:t>
            </w:r>
            <w:r w:rsidR="00A3466F">
              <w:rPr>
                <w:noProof/>
                <w:webHidden/>
              </w:rPr>
              <w:tab/>
            </w:r>
            <w:r w:rsidR="00A3466F">
              <w:rPr>
                <w:noProof/>
                <w:webHidden/>
              </w:rPr>
              <w:fldChar w:fldCharType="begin"/>
            </w:r>
            <w:r w:rsidR="00A3466F">
              <w:rPr>
                <w:noProof/>
                <w:webHidden/>
              </w:rPr>
              <w:instrText xml:space="preserve"> PAGEREF _Toc132711574 \h </w:instrText>
            </w:r>
            <w:r w:rsidR="00A3466F">
              <w:rPr>
                <w:noProof/>
                <w:webHidden/>
              </w:rPr>
            </w:r>
            <w:r w:rsidR="00A3466F">
              <w:rPr>
                <w:noProof/>
                <w:webHidden/>
              </w:rPr>
              <w:fldChar w:fldCharType="separate"/>
            </w:r>
            <w:r w:rsidR="00A3466F">
              <w:rPr>
                <w:noProof/>
                <w:webHidden/>
              </w:rPr>
              <w:t>5</w:t>
            </w:r>
            <w:r w:rsidR="00A3466F">
              <w:rPr>
                <w:noProof/>
                <w:webHidden/>
              </w:rPr>
              <w:fldChar w:fldCharType="end"/>
            </w:r>
          </w:hyperlink>
        </w:p>
        <w:p w14:paraId="1B2557CF" w14:textId="77777777" w:rsidR="00A3466F" w:rsidRDefault="00000000" w:rsidP="00A3466F">
          <w:pPr>
            <w:pStyle w:val="TOC1"/>
            <w:tabs>
              <w:tab w:val="right" w:leader="dot" w:pos="9016"/>
            </w:tabs>
            <w:rPr>
              <w:noProof/>
            </w:rPr>
          </w:pPr>
          <w:hyperlink w:anchor="_Toc132711575" w:history="1">
            <w:r w:rsidR="00A3466F" w:rsidRPr="002E6A2B">
              <w:rPr>
                <w:rStyle w:val="Hyperlink"/>
                <w:noProof/>
              </w:rPr>
              <w:t>About the boats</w:t>
            </w:r>
            <w:r w:rsidR="00A3466F">
              <w:rPr>
                <w:noProof/>
                <w:webHidden/>
              </w:rPr>
              <w:tab/>
            </w:r>
            <w:r w:rsidR="00A3466F">
              <w:rPr>
                <w:noProof/>
                <w:webHidden/>
              </w:rPr>
              <w:fldChar w:fldCharType="begin"/>
            </w:r>
            <w:r w:rsidR="00A3466F">
              <w:rPr>
                <w:noProof/>
                <w:webHidden/>
              </w:rPr>
              <w:instrText xml:space="preserve"> PAGEREF _Toc132711575 \h </w:instrText>
            </w:r>
            <w:r w:rsidR="00A3466F">
              <w:rPr>
                <w:noProof/>
                <w:webHidden/>
              </w:rPr>
            </w:r>
            <w:r w:rsidR="00A3466F">
              <w:rPr>
                <w:noProof/>
                <w:webHidden/>
              </w:rPr>
              <w:fldChar w:fldCharType="separate"/>
            </w:r>
            <w:r w:rsidR="00A3466F">
              <w:rPr>
                <w:noProof/>
                <w:webHidden/>
              </w:rPr>
              <w:t>7</w:t>
            </w:r>
            <w:r w:rsidR="00A3466F">
              <w:rPr>
                <w:noProof/>
                <w:webHidden/>
              </w:rPr>
              <w:fldChar w:fldCharType="end"/>
            </w:r>
          </w:hyperlink>
        </w:p>
        <w:p w14:paraId="02A64FB5" w14:textId="77777777" w:rsidR="00A3466F" w:rsidRDefault="00000000" w:rsidP="00A3466F">
          <w:pPr>
            <w:pStyle w:val="TOC1"/>
            <w:tabs>
              <w:tab w:val="right" w:leader="dot" w:pos="9016"/>
            </w:tabs>
            <w:rPr>
              <w:noProof/>
            </w:rPr>
          </w:pPr>
          <w:hyperlink w:anchor="_Toc132711576" w:history="1">
            <w:r w:rsidR="00A3466F" w:rsidRPr="002E6A2B">
              <w:rPr>
                <w:rStyle w:val="Hyperlink"/>
                <w:noProof/>
              </w:rPr>
              <w:t>Moorings</w:t>
            </w:r>
            <w:r w:rsidR="00A3466F">
              <w:rPr>
                <w:noProof/>
                <w:webHidden/>
              </w:rPr>
              <w:tab/>
            </w:r>
            <w:r w:rsidR="00A3466F">
              <w:rPr>
                <w:noProof/>
                <w:webHidden/>
              </w:rPr>
              <w:fldChar w:fldCharType="begin"/>
            </w:r>
            <w:r w:rsidR="00A3466F">
              <w:rPr>
                <w:noProof/>
                <w:webHidden/>
              </w:rPr>
              <w:instrText xml:space="preserve"> PAGEREF _Toc132711576 \h </w:instrText>
            </w:r>
            <w:r w:rsidR="00A3466F">
              <w:rPr>
                <w:noProof/>
                <w:webHidden/>
              </w:rPr>
            </w:r>
            <w:r w:rsidR="00A3466F">
              <w:rPr>
                <w:noProof/>
                <w:webHidden/>
              </w:rPr>
              <w:fldChar w:fldCharType="separate"/>
            </w:r>
            <w:r w:rsidR="00A3466F">
              <w:rPr>
                <w:noProof/>
                <w:webHidden/>
              </w:rPr>
              <w:t>9</w:t>
            </w:r>
            <w:r w:rsidR="00A3466F">
              <w:rPr>
                <w:noProof/>
                <w:webHidden/>
              </w:rPr>
              <w:fldChar w:fldCharType="end"/>
            </w:r>
          </w:hyperlink>
        </w:p>
        <w:p w14:paraId="414C8C60" w14:textId="77777777" w:rsidR="00A3466F" w:rsidRDefault="00000000" w:rsidP="00A3466F">
          <w:pPr>
            <w:pStyle w:val="TOC1"/>
            <w:tabs>
              <w:tab w:val="right" w:leader="dot" w:pos="9016"/>
            </w:tabs>
            <w:rPr>
              <w:noProof/>
            </w:rPr>
          </w:pPr>
          <w:hyperlink w:anchor="_Toc132711577" w:history="1">
            <w:r w:rsidR="00A3466F" w:rsidRPr="002E6A2B">
              <w:rPr>
                <w:rStyle w:val="Hyperlink"/>
                <w:noProof/>
              </w:rPr>
              <w:t>Challenges</w:t>
            </w:r>
            <w:r w:rsidR="00A3466F">
              <w:rPr>
                <w:noProof/>
                <w:webHidden/>
              </w:rPr>
              <w:tab/>
            </w:r>
            <w:r w:rsidR="00A3466F">
              <w:rPr>
                <w:noProof/>
                <w:webHidden/>
              </w:rPr>
              <w:fldChar w:fldCharType="begin"/>
            </w:r>
            <w:r w:rsidR="00A3466F">
              <w:rPr>
                <w:noProof/>
                <w:webHidden/>
              </w:rPr>
              <w:instrText xml:space="preserve"> PAGEREF _Toc132711577 \h </w:instrText>
            </w:r>
            <w:r w:rsidR="00A3466F">
              <w:rPr>
                <w:noProof/>
                <w:webHidden/>
              </w:rPr>
            </w:r>
            <w:r w:rsidR="00A3466F">
              <w:rPr>
                <w:noProof/>
                <w:webHidden/>
              </w:rPr>
              <w:fldChar w:fldCharType="separate"/>
            </w:r>
            <w:r w:rsidR="00A3466F">
              <w:rPr>
                <w:noProof/>
                <w:webHidden/>
              </w:rPr>
              <w:t>11</w:t>
            </w:r>
            <w:r w:rsidR="00A3466F">
              <w:rPr>
                <w:noProof/>
                <w:webHidden/>
              </w:rPr>
              <w:fldChar w:fldCharType="end"/>
            </w:r>
          </w:hyperlink>
        </w:p>
        <w:p w14:paraId="30B20C81" w14:textId="77777777" w:rsidR="00A3466F" w:rsidRDefault="00000000" w:rsidP="00A3466F">
          <w:pPr>
            <w:pStyle w:val="TOC1"/>
            <w:tabs>
              <w:tab w:val="right" w:leader="dot" w:pos="9016"/>
            </w:tabs>
            <w:rPr>
              <w:noProof/>
            </w:rPr>
          </w:pPr>
          <w:hyperlink w:anchor="_Toc132711578" w:history="1">
            <w:r w:rsidR="00A3466F" w:rsidRPr="002E6A2B">
              <w:rPr>
                <w:rStyle w:val="Hyperlink"/>
                <w:noProof/>
              </w:rPr>
              <w:t>Our welfare work</w:t>
            </w:r>
            <w:r w:rsidR="00A3466F">
              <w:rPr>
                <w:noProof/>
                <w:webHidden/>
              </w:rPr>
              <w:tab/>
            </w:r>
            <w:r w:rsidR="00A3466F">
              <w:rPr>
                <w:noProof/>
                <w:webHidden/>
              </w:rPr>
              <w:fldChar w:fldCharType="begin"/>
            </w:r>
            <w:r w:rsidR="00A3466F">
              <w:rPr>
                <w:noProof/>
                <w:webHidden/>
              </w:rPr>
              <w:instrText xml:space="preserve"> PAGEREF _Toc132711578 \h </w:instrText>
            </w:r>
            <w:r w:rsidR="00A3466F">
              <w:rPr>
                <w:noProof/>
                <w:webHidden/>
              </w:rPr>
            </w:r>
            <w:r w:rsidR="00A3466F">
              <w:rPr>
                <w:noProof/>
                <w:webHidden/>
              </w:rPr>
              <w:fldChar w:fldCharType="separate"/>
            </w:r>
            <w:r w:rsidR="00A3466F">
              <w:rPr>
                <w:noProof/>
                <w:webHidden/>
              </w:rPr>
              <w:t>12</w:t>
            </w:r>
            <w:r w:rsidR="00A3466F">
              <w:rPr>
                <w:noProof/>
                <w:webHidden/>
              </w:rPr>
              <w:fldChar w:fldCharType="end"/>
            </w:r>
          </w:hyperlink>
        </w:p>
        <w:p w14:paraId="3996823C" w14:textId="77777777" w:rsidR="00A3466F" w:rsidRDefault="00A3466F" w:rsidP="00A3466F">
          <w:r>
            <w:rPr>
              <w:b/>
              <w:bCs/>
              <w:noProof/>
            </w:rPr>
            <w:fldChar w:fldCharType="end"/>
          </w:r>
        </w:p>
      </w:sdtContent>
    </w:sdt>
    <w:p w14:paraId="5E0F1BAD" w14:textId="77777777" w:rsidR="00A3466F" w:rsidRDefault="00A3466F" w:rsidP="00A3466F">
      <w:pPr>
        <w:rPr>
          <w:highlight w:val="green"/>
        </w:rPr>
      </w:pPr>
      <w:r>
        <w:rPr>
          <w:highlight w:val="green"/>
        </w:rPr>
        <w:br w:type="page"/>
      </w:r>
    </w:p>
    <w:p w14:paraId="04A59A90" w14:textId="77777777" w:rsidR="00A3466F" w:rsidRDefault="00A3466F" w:rsidP="00A3466F">
      <w:r>
        <w:lastRenderedPageBreak/>
        <w:t xml:space="preserve">A </w:t>
      </w:r>
      <w:r w:rsidRPr="00850E85">
        <w:rPr>
          <w:b/>
          <w:bCs/>
        </w:rPr>
        <w:t>home mooring</w:t>
      </w:r>
      <w:r>
        <w:t xml:space="preserve"> is a paid-for place where you can leave your boat long-term, including private mooring sites or marinas and long-term towpath moorings provided by the Canal &amp; River Trust.</w:t>
      </w:r>
    </w:p>
    <w:p w14:paraId="60272A34" w14:textId="77777777" w:rsidR="00A3466F" w:rsidRDefault="00A3466F" w:rsidP="00A3466F"/>
    <w:p w14:paraId="598AE6F4" w14:textId="77777777" w:rsidR="00A3466F" w:rsidRDefault="00A3466F" w:rsidP="00A3466F">
      <w:r>
        <w:t xml:space="preserve">Boaters who do not pay for a home mooring are known as </w:t>
      </w:r>
      <w:r w:rsidRPr="009733C9">
        <w:rPr>
          <w:b/>
          <w:bCs/>
        </w:rPr>
        <w:t>continuous cruisers</w:t>
      </w:r>
      <w:r>
        <w:t xml:space="preserve"> and they move their boats around the network regularly.</w:t>
      </w:r>
    </w:p>
    <w:p w14:paraId="40CB0538" w14:textId="77777777" w:rsidR="00A3466F" w:rsidRDefault="00A3466F" w:rsidP="00A3466F"/>
    <w:p w14:paraId="4794025F" w14:textId="77777777" w:rsidR="00A3466F" w:rsidRPr="009733C9" w:rsidRDefault="00A3466F" w:rsidP="00A3466F">
      <w:pPr>
        <w:pStyle w:val="Heading1"/>
      </w:pPr>
      <w:bookmarkStart w:id="0" w:name="_Toc132711568"/>
      <w:r w:rsidRPr="009733C9">
        <w:t>Using this data</w:t>
      </w:r>
      <w:bookmarkEnd w:id="0"/>
    </w:p>
    <w:p w14:paraId="142BC5DD" w14:textId="77777777" w:rsidR="00A3466F" w:rsidRDefault="00A3466F" w:rsidP="00A3466F">
      <w:pPr>
        <w:rPr>
          <w:highlight w:val="green"/>
        </w:rPr>
      </w:pPr>
      <w:r>
        <w:t>The information in this report is free to use but should be referenced to the Canal &amp; River Trust. If you would like further information on the Canal &amp; River Trust Boater Census, please send any requests to information.request@canalrivertrust.org.uk</w:t>
      </w:r>
      <w:r>
        <w:rPr>
          <w:highlight w:val="green"/>
        </w:rPr>
        <w:br w:type="page"/>
      </w:r>
    </w:p>
    <w:p w14:paraId="6E527078" w14:textId="77777777" w:rsidR="00A3466F" w:rsidRPr="00981C91" w:rsidRDefault="00A3466F" w:rsidP="00A3466F">
      <w:pPr>
        <w:rPr>
          <w:b/>
          <w:bCs/>
          <w:sz w:val="36"/>
          <w:szCs w:val="36"/>
        </w:rPr>
      </w:pPr>
      <w:r w:rsidRPr="00981C91">
        <w:rPr>
          <w:b/>
          <w:bCs/>
          <w:sz w:val="36"/>
          <w:szCs w:val="36"/>
        </w:rPr>
        <w:lastRenderedPageBreak/>
        <w:t xml:space="preserve">In August 2022, the Canal &amp; River Trust launched its first ever Boater Census Survey. </w:t>
      </w:r>
    </w:p>
    <w:p w14:paraId="6BB1ACD8" w14:textId="77777777" w:rsidR="00A3466F" w:rsidRDefault="00A3466F" w:rsidP="00A3466F">
      <w:r>
        <w:t xml:space="preserve">The Canal &amp; River Trust is the charity working to care for a 2,000-mile-long, 250-year-old network of canals, rivers, reservoirs and docks, because we believe that life is better by water. Our vision is to have living waterways that transform places and enrich our lives, for today and generations to come, and boating is at the centre of that. </w:t>
      </w:r>
    </w:p>
    <w:p w14:paraId="1A40C10C" w14:textId="77777777" w:rsidR="00A3466F" w:rsidRDefault="00A3466F" w:rsidP="00A3466F">
      <w:r>
        <w:t xml:space="preserve">There are around 35,000 boats on our canals and rivers, which provide a sanctuary for leisure boaters and holidaymakers, a home to liveaboard boaters, and a workplace for the many boats selling goods and services up and down the country. </w:t>
      </w:r>
    </w:p>
    <w:p w14:paraId="413AB676" w14:textId="77777777" w:rsidR="00A3466F" w:rsidRDefault="00A3466F" w:rsidP="00A3466F">
      <w:r>
        <w:t xml:space="preserve">To understand more about the needs of the boaters who live on and use our waterways and the challenges they face, the Trust ran its first ever Boater Census Survey in 2022 and this report presents a summary of the results. This data will help inform our own work and that of others, such as health service providers and local authorities, to make sure boaters are taken into account and their needs are met through decision-making, policy and services. </w:t>
      </w:r>
    </w:p>
    <w:p w14:paraId="0476A330" w14:textId="77777777" w:rsidR="00A3466F" w:rsidRDefault="00A3466F" w:rsidP="00A3466F"/>
    <w:p w14:paraId="565F2581" w14:textId="77777777" w:rsidR="00A3466F" w:rsidRPr="00981C91" w:rsidRDefault="00A3466F" w:rsidP="00A3466F">
      <w:pPr>
        <w:pStyle w:val="Heading1"/>
      </w:pPr>
      <w:bookmarkStart w:id="1" w:name="_Toc132711569"/>
      <w:r w:rsidRPr="00981C91">
        <w:t>About the survey</w:t>
      </w:r>
      <w:bookmarkEnd w:id="1"/>
      <w:r w:rsidRPr="00981C91">
        <w:t xml:space="preserve"> </w:t>
      </w:r>
    </w:p>
    <w:p w14:paraId="080A4047" w14:textId="77777777" w:rsidR="0070707E" w:rsidRDefault="00A3466F" w:rsidP="00A3466F">
      <w:r>
        <w:t xml:space="preserve">The anonymous online survey was open for ten weeks and boaters took part by completing a questionnaire online or over the telephone. Invitations to take part were sent to current licence-holders by email, text message or post, and we asked people to complete one survey per boat. Roving traders were included but other business boat licence holders were not. </w:t>
      </w:r>
    </w:p>
    <w:p w14:paraId="0C7FCFF4" w14:textId="77777777" w:rsidR="0070707E" w:rsidRDefault="00A3466F" w:rsidP="00A3466F">
      <w:r>
        <w:t xml:space="preserve">The survey automatically presented different questions depending on whether the respondent had permanent mooring (a home mooring) or not (continuously cruising), and whether they live aboard all year round or not. Some questions were compulsory and others were optional. In this report, results given as percentages relate to the total number of respondents who answered that specific question, not necessarily the overall total. The number of responses to each question are also shown. </w:t>
      </w:r>
    </w:p>
    <w:p w14:paraId="1B2EA121" w14:textId="6C6906F8" w:rsidR="00A3466F" w:rsidRPr="0070707E" w:rsidRDefault="00A3466F" w:rsidP="00A3466F">
      <w:pPr>
        <w:rPr>
          <w:b/>
          <w:bCs/>
        </w:rPr>
      </w:pPr>
      <w:r w:rsidRPr="0070707E">
        <w:rPr>
          <w:b/>
          <w:bCs/>
        </w:rPr>
        <w:t xml:space="preserve">We sent a total of 32,777 invitations to take part in the </w:t>
      </w:r>
      <w:r w:rsidR="0070707E" w:rsidRPr="0070707E">
        <w:rPr>
          <w:b/>
          <w:bCs/>
        </w:rPr>
        <w:t>C</w:t>
      </w:r>
      <w:r w:rsidRPr="0070707E">
        <w:rPr>
          <w:b/>
          <w:bCs/>
        </w:rPr>
        <w:t xml:space="preserve">ensus Survey: </w:t>
      </w:r>
    </w:p>
    <w:tbl>
      <w:tblPr>
        <w:tblStyle w:val="TableGrid"/>
        <w:tblW w:w="0" w:type="auto"/>
        <w:tblLook w:val="04A0" w:firstRow="1" w:lastRow="0" w:firstColumn="1" w:lastColumn="0" w:noHBand="0" w:noVBand="1"/>
      </w:tblPr>
      <w:tblGrid>
        <w:gridCol w:w="1696"/>
        <w:gridCol w:w="1418"/>
      </w:tblGrid>
      <w:tr w:rsidR="00A3466F" w14:paraId="1AE0EDF9" w14:textId="77777777" w:rsidTr="005C089F">
        <w:tc>
          <w:tcPr>
            <w:tcW w:w="1696" w:type="dxa"/>
          </w:tcPr>
          <w:p w14:paraId="66E82B9A" w14:textId="77777777" w:rsidR="00A3466F" w:rsidRDefault="00A3466F" w:rsidP="005C089F">
            <w:r>
              <w:t>Email</w:t>
            </w:r>
          </w:p>
        </w:tc>
        <w:tc>
          <w:tcPr>
            <w:tcW w:w="1418" w:type="dxa"/>
          </w:tcPr>
          <w:p w14:paraId="73DDB11F" w14:textId="77777777" w:rsidR="00A3466F" w:rsidRDefault="00A3466F" w:rsidP="005C089F">
            <w:r>
              <w:t>31,235</w:t>
            </w:r>
          </w:p>
        </w:tc>
      </w:tr>
      <w:tr w:rsidR="00A3466F" w14:paraId="2E778DA7" w14:textId="77777777" w:rsidTr="005C089F">
        <w:tc>
          <w:tcPr>
            <w:tcW w:w="1696" w:type="dxa"/>
          </w:tcPr>
          <w:p w14:paraId="421618BD" w14:textId="77777777" w:rsidR="00A3466F" w:rsidRDefault="00A3466F" w:rsidP="005C089F">
            <w:r>
              <w:t>Text message</w:t>
            </w:r>
          </w:p>
        </w:tc>
        <w:tc>
          <w:tcPr>
            <w:tcW w:w="1418" w:type="dxa"/>
          </w:tcPr>
          <w:p w14:paraId="64BFD5BD" w14:textId="77777777" w:rsidR="00A3466F" w:rsidRDefault="00A3466F" w:rsidP="005C089F">
            <w:r>
              <w:t>1,279</w:t>
            </w:r>
          </w:p>
        </w:tc>
      </w:tr>
      <w:tr w:rsidR="00A3466F" w14:paraId="4C279F81" w14:textId="77777777" w:rsidTr="005C089F">
        <w:tc>
          <w:tcPr>
            <w:tcW w:w="1696" w:type="dxa"/>
          </w:tcPr>
          <w:p w14:paraId="3B81F8EA" w14:textId="77777777" w:rsidR="00A3466F" w:rsidRDefault="00A3466F" w:rsidP="005C089F">
            <w:r>
              <w:t>Post</w:t>
            </w:r>
          </w:p>
        </w:tc>
        <w:tc>
          <w:tcPr>
            <w:tcW w:w="1418" w:type="dxa"/>
          </w:tcPr>
          <w:p w14:paraId="0436FA29" w14:textId="77777777" w:rsidR="00A3466F" w:rsidRDefault="00A3466F" w:rsidP="005C089F">
            <w:r>
              <w:t>263</w:t>
            </w:r>
          </w:p>
        </w:tc>
      </w:tr>
      <w:tr w:rsidR="00A3466F" w14:paraId="52215A0E" w14:textId="77777777" w:rsidTr="005C089F">
        <w:tc>
          <w:tcPr>
            <w:tcW w:w="1696" w:type="dxa"/>
          </w:tcPr>
          <w:p w14:paraId="271F02F0" w14:textId="77777777" w:rsidR="00A3466F" w:rsidRDefault="00A3466F" w:rsidP="005C089F">
            <w:r>
              <w:t>Total</w:t>
            </w:r>
          </w:p>
        </w:tc>
        <w:tc>
          <w:tcPr>
            <w:tcW w:w="1418" w:type="dxa"/>
          </w:tcPr>
          <w:p w14:paraId="6BC07A51" w14:textId="77777777" w:rsidR="00A3466F" w:rsidRDefault="00A3466F" w:rsidP="005C089F">
            <w:r>
              <w:t>32,777</w:t>
            </w:r>
          </w:p>
        </w:tc>
      </w:tr>
    </w:tbl>
    <w:p w14:paraId="6488A2D3" w14:textId="77777777" w:rsidR="00A3466F" w:rsidRDefault="00A3466F" w:rsidP="00A3466F"/>
    <w:p w14:paraId="68DB6D63" w14:textId="77777777" w:rsidR="00A3466F" w:rsidRPr="00981C91" w:rsidRDefault="00A3466F" w:rsidP="00A3466F">
      <w:pPr>
        <w:pStyle w:val="Heading1"/>
      </w:pPr>
      <w:bookmarkStart w:id="2" w:name="_Toc132711570"/>
      <w:r w:rsidRPr="00981C91">
        <w:t>Response</w:t>
      </w:r>
      <w:bookmarkEnd w:id="2"/>
      <w:r w:rsidRPr="00981C91">
        <w:t xml:space="preserve"> </w:t>
      </w:r>
    </w:p>
    <w:p w14:paraId="45006F04" w14:textId="3C59BC47" w:rsidR="00A3466F" w:rsidRDefault="00A3466F" w:rsidP="00A3466F">
      <w:r>
        <w:t xml:space="preserve">A total of </w:t>
      </w:r>
      <w:r w:rsidR="00DE4A5F">
        <w:t>9,530</w:t>
      </w:r>
      <w:r>
        <w:t xml:space="preserve"> boaters responded, which is </w:t>
      </w:r>
      <w:r w:rsidR="00DE4A5F">
        <w:t>just under</w:t>
      </w:r>
      <w:r>
        <w:t xml:space="preserve"> a third of all licence holders. The split between boaters with home moorings and continuous cruisers is similar to the results of the annual National Boat Count that was carried out in March 2022.</w:t>
      </w:r>
    </w:p>
    <w:tbl>
      <w:tblPr>
        <w:tblStyle w:val="TableGrid"/>
        <w:tblW w:w="0" w:type="auto"/>
        <w:tblLook w:val="04A0" w:firstRow="1" w:lastRow="0" w:firstColumn="1" w:lastColumn="0" w:noHBand="0" w:noVBand="1"/>
      </w:tblPr>
      <w:tblGrid>
        <w:gridCol w:w="4508"/>
        <w:gridCol w:w="4508"/>
      </w:tblGrid>
      <w:tr w:rsidR="00A3466F" w14:paraId="07A8372A" w14:textId="77777777" w:rsidTr="005C089F">
        <w:tc>
          <w:tcPr>
            <w:tcW w:w="4508" w:type="dxa"/>
          </w:tcPr>
          <w:p w14:paraId="3CAFD68D" w14:textId="77777777" w:rsidR="00A3466F" w:rsidRPr="00B62667" w:rsidRDefault="00A3466F" w:rsidP="005C089F">
            <w:pPr>
              <w:rPr>
                <w:b/>
                <w:bCs/>
              </w:rPr>
            </w:pPr>
            <w:r w:rsidRPr="00B62667">
              <w:rPr>
                <w:b/>
                <w:bCs/>
              </w:rPr>
              <w:t>National Boat Count, March 2022</w:t>
            </w:r>
          </w:p>
          <w:p w14:paraId="40C6C0DB" w14:textId="77777777" w:rsidR="00A3466F" w:rsidRDefault="00A3466F" w:rsidP="005C089F">
            <w:r>
              <w:t>79% (27,356) boaters with a home mooring</w:t>
            </w:r>
          </w:p>
          <w:p w14:paraId="23E15F09" w14:textId="77777777" w:rsidR="00A3466F" w:rsidRDefault="00A3466F" w:rsidP="005C089F">
            <w:r>
              <w:t>21% (7,296) continuous cruisers</w:t>
            </w:r>
          </w:p>
        </w:tc>
        <w:tc>
          <w:tcPr>
            <w:tcW w:w="4508" w:type="dxa"/>
          </w:tcPr>
          <w:p w14:paraId="1807AF11" w14:textId="77777777" w:rsidR="00A3466F" w:rsidRPr="00B62667" w:rsidRDefault="00A3466F" w:rsidP="005C089F">
            <w:pPr>
              <w:rPr>
                <w:b/>
                <w:bCs/>
              </w:rPr>
            </w:pPr>
            <w:r w:rsidRPr="00B62667">
              <w:rPr>
                <w:b/>
                <w:bCs/>
              </w:rPr>
              <w:t>Boater Census, August 2022</w:t>
            </w:r>
          </w:p>
          <w:p w14:paraId="79D3EDFF" w14:textId="2ADD86F8" w:rsidR="00A3466F" w:rsidRDefault="00A3466F" w:rsidP="005C089F">
            <w:r>
              <w:t>76% (</w:t>
            </w:r>
            <w:r w:rsidR="00DE4A5F">
              <w:t>6,944</w:t>
            </w:r>
            <w:r>
              <w:t>) boaters with a home mooring</w:t>
            </w:r>
          </w:p>
          <w:p w14:paraId="525E5323" w14:textId="4D0B968A" w:rsidR="00A3466F" w:rsidRDefault="00A3466F" w:rsidP="005C089F">
            <w:r>
              <w:t>24% (2,</w:t>
            </w:r>
            <w:r w:rsidR="00DE4A5F">
              <w:t>200</w:t>
            </w:r>
            <w:r>
              <w:t>) continuous cruisers</w:t>
            </w:r>
          </w:p>
        </w:tc>
      </w:tr>
    </w:tbl>
    <w:p w14:paraId="5B590ABE" w14:textId="77777777" w:rsidR="00A3466F" w:rsidRDefault="00A3466F" w:rsidP="00A3466F"/>
    <w:p w14:paraId="01FDF59E" w14:textId="77777777" w:rsidR="00A3466F" w:rsidRPr="00514196" w:rsidRDefault="00A3466F" w:rsidP="00A3466F">
      <w:pPr>
        <w:pStyle w:val="Heading1"/>
      </w:pPr>
      <w:bookmarkStart w:id="3" w:name="_Toc132711571"/>
      <w:r w:rsidRPr="00514196">
        <w:lastRenderedPageBreak/>
        <w:t>About the boaters</w:t>
      </w:r>
      <w:bookmarkEnd w:id="3"/>
    </w:p>
    <w:p w14:paraId="06C452AB" w14:textId="77777777" w:rsidR="00A3466F" w:rsidRPr="005240BC" w:rsidRDefault="00A3466F" w:rsidP="00A3466F">
      <w:r>
        <w:t>We asked about the r</w:t>
      </w:r>
      <w:r w:rsidRPr="005240BC">
        <w:t xml:space="preserve">elationships </w:t>
      </w:r>
      <w:r>
        <w:t xml:space="preserve">between </w:t>
      </w:r>
      <w:r w:rsidRPr="005240BC">
        <w:t xml:space="preserve">the people living on </w:t>
      </w:r>
      <w:r>
        <w:t xml:space="preserve">each </w:t>
      </w:r>
      <w:r w:rsidRPr="005240BC">
        <w:t>boat</w:t>
      </w:r>
      <w:r>
        <w:t>:</w:t>
      </w:r>
    </w:p>
    <w:tbl>
      <w:tblPr>
        <w:tblStyle w:val="TableGrid"/>
        <w:tblW w:w="0" w:type="auto"/>
        <w:tblLook w:val="04A0" w:firstRow="1" w:lastRow="0" w:firstColumn="1" w:lastColumn="0" w:noHBand="0" w:noVBand="1"/>
      </w:tblPr>
      <w:tblGrid>
        <w:gridCol w:w="2972"/>
        <w:gridCol w:w="1701"/>
      </w:tblGrid>
      <w:tr w:rsidR="00A3466F" w:rsidRPr="005240BC" w14:paraId="7608A822" w14:textId="77777777" w:rsidTr="005C089F">
        <w:tc>
          <w:tcPr>
            <w:tcW w:w="2972" w:type="dxa"/>
          </w:tcPr>
          <w:p w14:paraId="34A41A4E" w14:textId="77777777" w:rsidR="00A3466F" w:rsidRPr="001216CE" w:rsidRDefault="00A3466F" w:rsidP="005C089F">
            <w:r w:rsidRPr="001216CE">
              <w:t>Married or cohabiting couple</w:t>
            </w:r>
          </w:p>
        </w:tc>
        <w:tc>
          <w:tcPr>
            <w:tcW w:w="1701" w:type="dxa"/>
          </w:tcPr>
          <w:p w14:paraId="1691E4F1" w14:textId="438A4ABA" w:rsidR="00A3466F" w:rsidRPr="001216CE" w:rsidRDefault="00DE4A5F" w:rsidP="005C089F">
            <w:r>
              <w:t>90.7% (857)</w:t>
            </w:r>
          </w:p>
        </w:tc>
      </w:tr>
      <w:tr w:rsidR="00A3466F" w:rsidRPr="005240BC" w14:paraId="06EB5D17" w14:textId="77777777" w:rsidTr="005C089F">
        <w:tc>
          <w:tcPr>
            <w:tcW w:w="2972" w:type="dxa"/>
          </w:tcPr>
          <w:p w14:paraId="452719D9" w14:textId="77777777" w:rsidR="00A3466F" w:rsidRPr="001216CE" w:rsidRDefault="00A3466F" w:rsidP="005C089F">
            <w:r w:rsidRPr="001216CE">
              <w:t>Part of a family</w:t>
            </w:r>
          </w:p>
        </w:tc>
        <w:tc>
          <w:tcPr>
            <w:tcW w:w="1701" w:type="dxa"/>
          </w:tcPr>
          <w:p w14:paraId="081774E0" w14:textId="6A281888" w:rsidR="00A3466F" w:rsidRPr="001216CE" w:rsidRDefault="00DE4A5F" w:rsidP="005C089F">
            <w:r>
              <w:t>6.9% (65)</w:t>
            </w:r>
          </w:p>
        </w:tc>
      </w:tr>
      <w:tr w:rsidR="00A3466F" w:rsidRPr="005240BC" w14:paraId="00916807" w14:textId="77777777" w:rsidTr="005C089F">
        <w:tc>
          <w:tcPr>
            <w:tcW w:w="2972" w:type="dxa"/>
          </w:tcPr>
          <w:p w14:paraId="0E5EF92D" w14:textId="77777777" w:rsidR="00A3466F" w:rsidRPr="001216CE" w:rsidRDefault="00A3466F" w:rsidP="005C089F">
            <w:r w:rsidRPr="001216CE">
              <w:t>Single person</w:t>
            </w:r>
          </w:p>
        </w:tc>
        <w:tc>
          <w:tcPr>
            <w:tcW w:w="1701" w:type="dxa"/>
          </w:tcPr>
          <w:p w14:paraId="6C89E134" w14:textId="40A1CF13" w:rsidR="00A3466F" w:rsidRPr="001216CE" w:rsidRDefault="00A3466F" w:rsidP="005C089F">
            <w:r w:rsidRPr="001216CE">
              <w:t>0.3%</w:t>
            </w:r>
            <w:r>
              <w:t xml:space="preserve"> (</w:t>
            </w:r>
            <w:r w:rsidR="00DE4A5F">
              <w:t>3</w:t>
            </w:r>
            <w:r>
              <w:t>)</w:t>
            </w:r>
            <w:r w:rsidRPr="00C717B0">
              <w:rPr>
                <w:vertAlign w:val="superscript"/>
              </w:rPr>
              <w:t>1</w:t>
            </w:r>
          </w:p>
        </w:tc>
      </w:tr>
      <w:tr w:rsidR="00A3466F" w:rsidRPr="005240BC" w14:paraId="41D002A4" w14:textId="77777777" w:rsidTr="005C089F">
        <w:tc>
          <w:tcPr>
            <w:tcW w:w="2972" w:type="dxa"/>
          </w:tcPr>
          <w:p w14:paraId="655089D1" w14:textId="77777777" w:rsidR="00A3466F" w:rsidRPr="001216CE" w:rsidRDefault="00A3466F" w:rsidP="005C089F">
            <w:r w:rsidRPr="001216CE">
              <w:t>Unrelated or other</w:t>
            </w:r>
          </w:p>
        </w:tc>
        <w:tc>
          <w:tcPr>
            <w:tcW w:w="1701" w:type="dxa"/>
          </w:tcPr>
          <w:p w14:paraId="5DC3F662" w14:textId="07217CAC" w:rsidR="00A3466F" w:rsidRPr="001216CE" w:rsidRDefault="00A3466F" w:rsidP="005C089F">
            <w:r w:rsidRPr="001216CE">
              <w:t>2.</w:t>
            </w:r>
            <w:r w:rsidR="00DE4A5F">
              <w:t>1</w:t>
            </w:r>
            <w:r w:rsidRPr="001216CE">
              <w:t>%</w:t>
            </w:r>
            <w:r>
              <w:t xml:space="preserve"> (</w:t>
            </w:r>
            <w:r w:rsidR="00DE4A5F">
              <w:t>20</w:t>
            </w:r>
            <w:r>
              <w:t>)</w:t>
            </w:r>
          </w:p>
        </w:tc>
      </w:tr>
    </w:tbl>
    <w:p w14:paraId="64021CC7" w14:textId="77777777" w:rsidR="00A3466F" w:rsidRDefault="00A3466F" w:rsidP="00A3466F">
      <w:pPr>
        <w:rPr>
          <w:i/>
          <w:iCs/>
        </w:rPr>
      </w:pPr>
    </w:p>
    <w:p w14:paraId="4016D7E8" w14:textId="77777777" w:rsidR="00A3466F" w:rsidRPr="00C87A13" w:rsidRDefault="00A3466F" w:rsidP="00A3466F">
      <w:pPr>
        <w:rPr>
          <w:i/>
          <w:iCs/>
        </w:rPr>
      </w:pPr>
      <w:r w:rsidRPr="00C87A13">
        <w:rPr>
          <w:i/>
          <w:iCs/>
        </w:rPr>
        <w:t>1. This number is strikingly low, which suggests a section of the boating population has not responded to this survey. For more information on this, please see the section ‘Who didn't respond to the Census Survey?’ on page 11.</w:t>
      </w:r>
    </w:p>
    <w:p w14:paraId="4765C269" w14:textId="77777777" w:rsidR="00A3466F" w:rsidRDefault="00A3466F" w:rsidP="00A3466F"/>
    <w:p w14:paraId="25E01BE6" w14:textId="77777777" w:rsidR="00A3466F" w:rsidRPr="005240BC" w:rsidRDefault="00A3466F" w:rsidP="00A3466F">
      <w:r w:rsidRPr="005240BC">
        <w:t>Are there any children</w:t>
      </w:r>
      <w:r>
        <w:t xml:space="preserve"> (under 16)</w:t>
      </w:r>
      <w:r w:rsidRPr="005240BC">
        <w:t xml:space="preserve"> living aboard?</w:t>
      </w:r>
    </w:p>
    <w:tbl>
      <w:tblPr>
        <w:tblStyle w:val="TableGrid"/>
        <w:tblW w:w="0" w:type="auto"/>
        <w:tblLook w:val="04A0" w:firstRow="1" w:lastRow="0" w:firstColumn="1" w:lastColumn="0" w:noHBand="0" w:noVBand="1"/>
      </w:tblPr>
      <w:tblGrid>
        <w:gridCol w:w="2972"/>
        <w:gridCol w:w="1701"/>
      </w:tblGrid>
      <w:tr w:rsidR="00A3466F" w:rsidRPr="005240BC" w14:paraId="29243BC3" w14:textId="77777777" w:rsidTr="005C089F">
        <w:tc>
          <w:tcPr>
            <w:tcW w:w="2972" w:type="dxa"/>
          </w:tcPr>
          <w:p w14:paraId="219B13A8" w14:textId="77777777" w:rsidR="00A3466F" w:rsidRPr="001216CE" w:rsidRDefault="00A3466F" w:rsidP="005C089F">
            <w:r>
              <w:t>No</w:t>
            </w:r>
          </w:p>
        </w:tc>
        <w:tc>
          <w:tcPr>
            <w:tcW w:w="1701" w:type="dxa"/>
          </w:tcPr>
          <w:p w14:paraId="554DEA59" w14:textId="7C5A51A4" w:rsidR="00A3466F" w:rsidRPr="001216CE" w:rsidRDefault="00A3466F" w:rsidP="005C089F">
            <w:r w:rsidRPr="001216CE">
              <w:t>94.</w:t>
            </w:r>
            <w:r w:rsidR="00DE4A5F">
              <w:t>3</w:t>
            </w:r>
            <w:r w:rsidRPr="001216CE">
              <w:t>%</w:t>
            </w:r>
            <w:r>
              <w:t xml:space="preserve"> (</w:t>
            </w:r>
            <w:r w:rsidR="00DE4A5F">
              <w:t>2,837</w:t>
            </w:r>
            <w:r>
              <w:t>)</w:t>
            </w:r>
          </w:p>
        </w:tc>
      </w:tr>
      <w:tr w:rsidR="00A3466F" w:rsidRPr="005240BC" w14:paraId="7B80B07C" w14:textId="77777777" w:rsidTr="005C089F">
        <w:tc>
          <w:tcPr>
            <w:tcW w:w="2972" w:type="dxa"/>
          </w:tcPr>
          <w:p w14:paraId="6E15831A" w14:textId="77777777" w:rsidR="00A3466F" w:rsidRPr="001216CE" w:rsidRDefault="00A3466F" w:rsidP="005C089F">
            <w:r>
              <w:t>Yes</w:t>
            </w:r>
          </w:p>
        </w:tc>
        <w:tc>
          <w:tcPr>
            <w:tcW w:w="1701" w:type="dxa"/>
          </w:tcPr>
          <w:p w14:paraId="4A535F6D" w14:textId="04B89761" w:rsidR="00A3466F" w:rsidRPr="001216CE" w:rsidRDefault="00A3466F" w:rsidP="005C089F">
            <w:r w:rsidRPr="001216CE">
              <w:t>5.</w:t>
            </w:r>
            <w:r w:rsidR="00DE4A5F">
              <w:t>2</w:t>
            </w:r>
            <w:r w:rsidRPr="001216CE">
              <w:t>%</w:t>
            </w:r>
            <w:r>
              <w:t xml:space="preserve"> (180)</w:t>
            </w:r>
          </w:p>
        </w:tc>
      </w:tr>
      <w:tr w:rsidR="00A3466F" w14:paraId="47A81284" w14:textId="77777777" w:rsidTr="005C089F">
        <w:tc>
          <w:tcPr>
            <w:tcW w:w="2972" w:type="dxa"/>
          </w:tcPr>
          <w:p w14:paraId="12FF87BA" w14:textId="77777777" w:rsidR="00A3466F" w:rsidRPr="001216CE" w:rsidRDefault="00A3466F" w:rsidP="005C089F">
            <w:r w:rsidRPr="001216CE">
              <w:t>Prefer not to say</w:t>
            </w:r>
          </w:p>
        </w:tc>
        <w:tc>
          <w:tcPr>
            <w:tcW w:w="1701" w:type="dxa"/>
          </w:tcPr>
          <w:p w14:paraId="700695A7" w14:textId="4CC11A29" w:rsidR="00A3466F" w:rsidRPr="001216CE" w:rsidRDefault="00A3466F" w:rsidP="005C089F">
            <w:r w:rsidRPr="001216CE">
              <w:t>0.</w:t>
            </w:r>
            <w:r w:rsidR="00DE4A5F">
              <w:t>5</w:t>
            </w:r>
            <w:r w:rsidRPr="001216CE">
              <w:t>%</w:t>
            </w:r>
            <w:r>
              <w:t xml:space="preserve"> (14)</w:t>
            </w:r>
          </w:p>
        </w:tc>
      </w:tr>
    </w:tbl>
    <w:p w14:paraId="15DB2CB2" w14:textId="77777777" w:rsidR="00A3466F" w:rsidRDefault="00A3466F" w:rsidP="00A3466F"/>
    <w:p w14:paraId="144E5ADE" w14:textId="77777777" w:rsidR="00A3466F" w:rsidRDefault="00A3466F" w:rsidP="00A3466F">
      <w:r>
        <w:t>Are there any animals living aboard?</w:t>
      </w:r>
    </w:p>
    <w:tbl>
      <w:tblPr>
        <w:tblStyle w:val="TableGrid"/>
        <w:tblW w:w="0" w:type="auto"/>
        <w:tblLook w:val="04A0" w:firstRow="1" w:lastRow="0" w:firstColumn="1" w:lastColumn="0" w:noHBand="0" w:noVBand="1"/>
      </w:tblPr>
      <w:tblGrid>
        <w:gridCol w:w="2972"/>
        <w:gridCol w:w="1701"/>
      </w:tblGrid>
      <w:tr w:rsidR="00A3466F" w:rsidRPr="005240BC" w14:paraId="5D4BD4DB" w14:textId="77777777" w:rsidTr="005C089F">
        <w:tc>
          <w:tcPr>
            <w:tcW w:w="2972" w:type="dxa"/>
          </w:tcPr>
          <w:p w14:paraId="1D00C4F3" w14:textId="77777777" w:rsidR="00A3466F" w:rsidRPr="001216CE" w:rsidRDefault="00A3466F" w:rsidP="005C089F">
            <w:r w:rsidRPr="001216CE">
              <w:t>Yes</w:t>
            </w:r>
          </w:p>
        </w:tc>
        <w:tc>
          <w:tcPr>
            <w:tcW w:w="1701" w:type="dxa"/>
          </w:tcPr>
          <w:p w14:paraId="41907100" w14:textId="02A73127" w:rsidR="00A3466F" w:rsidRPr="001216CE" w:rsidRDefault="00DE4A5F" w:rsidP="005C089F">
            <w:r>
              <w:t>46.3</w:t>
            </w:r>
            <w:r w:rsidR="00A3466F" w:rsidRPr="001216CE">
              <w:t>%</w:t>
            </w:r>
            <w:r w:rsidR="00A3466F">
              <w:t xml:space="preserve"> (1,</w:t>
            </w:r>
            <w:r>
              <w:t>566</w:t>
            </w:r>
            <w:r w:rsidR="00A3466F">
              <w:t>)</w:t>
            </w:r>
          </w:p>
        </w:tc>
      </w:tr>
      <w:tr w:rsidR="00A3466F" w:rsidRPr="005240BC" w14:paraId="34AA8523" w14:textId="77777777" w:rsidTr="005C089F">
        <w:tc>
          <w:tcPr>
            <w:tcW w:w="2972" w:type="dxa"/>
          </w:tcPr>
          <w:p w14:paraId="4131B6D1" w14:textId="77777777" w:rsidR="00A3466F" w:rsidRPr="001216CE" w:rsidRDefault="00A3466F" w:rsidP="005C089F">
            <w:r w:rsidRPr="001216CE">
              <w:t>No</w:t>
            </w:r>
          </w:p>
        </w:tc>
        <w:tc>
          <w:tcPr>
            <w:tcW w:w="1701" w:type="dxa"/>
          </w:tcPr>
          <w:p w14:paraId="2B3F40ED" w14:textId="0E751AFC" w:rsidR="00A3466F" w:rsidRPr="001216CE" w:rsidRDefault="00DE4A5F" w:rsidP="005C089F">
            <w:r>
              <w:t>53.1</w:t>
            </w:r>
            <w:r w:rsidR="00A3466F" w:rsidRPr="001216CE">
              <w:t>%</w:t>
            </w:r>
            <w:r w:rsidR="00A3466F">
              <w:t xml:space="preserve"> (</w:t>
            </w:r>
            <w:r>
              <w:t>1,797)</w:t>
            </w:r>
            <w:r w:rsidR="00A3466F">
              <w:t>)</w:t>
            </w:r>
          </w:p>
        </w:tc>
      </w:tr>
      <w:tr w:rsidR="00A3466F" w14:paraId="520A1E2C" w14:textId="77777777" w:rsidTr="005C089F">
        <w:tc>
          <w:tcPr>
            <w:tcW w:w="2972" w:type="dxa"/>
          </w:tcPr>
          <w:p w14:paraId="0CC25CAB" w14:textId="77777777" w:rsidR="00A3466F" w:rsidRPr="001216CE" w:rsidRDefault="00A3466F" w:rsidP="005C089F">
            <w:r w:rsidRPr="001216CE">
              <w:t>Prefer not to say</w:t>
            </w:r>
          </w:p>
        </w:tc>
        <w:tc>
          <w:tcPr>
            <w:tcW w:w="1701" w:type="dxa"/>
          </w:tcPr>
          <w:p w14:paraId="1769D481" w14:textId="7FCBA8D9" w:rsidR="00A3466F" w:rsidRPr="001216CE" w:rsidRDefault="00A3466F" w:rsidP="005C089F">
            <w:r w:rsidRPr="001216CE">
              <w:t>0.</w:t>
            </w:r>
            <w:r>
              <w:t>6</w:t>
            </w:r>
            <w:r w:rsidRPr="001216CE">
              <w:t>%</w:t>
            </w:r>
            <w:r>
              <w:t xml:space="preserve"> (2</w:t>
            </w:r>
            <w:r w:rsidR="00DE4A5F">
              <w:t>1</w:t>
            </w:r>
            <w:r>
              <w:t>)</w:t>
            </w:r>
          </w:p>
        </w:tc>
      </w:tr>
    </w:tbl>
    <w:p w14:paraId="6934587F" w14:textId="77777777" w:rsidR="00A3466F" w:rsidRDefault="00A3466F" w:rsidP="00A3466F"/>
    <w:tbl>
      <w:tblPr>
        <w:tblStyle w:val="TableGrid"/>
        <w:tblW w:w="0" w:type="auto"/>
        <w:tblLook w:val="04A0" w:firstRow="1" w:lastRow="0" w:firstColumn="1" w:lastColumn="0" w:noHBand="0" w:noVBand="1"/>
      </w:tblPr>
      <w:tblGrid>
        <w:gridCol w:w="2972"/>
        <w:gridCol w:w="1701"/>
      </w:tblGrid>
      <w:tr w:rsidR="00A3466F" w:rsidRPr="005240BC" w14:paraId="2D679C8C" w14:textId="77777777" w:rsidTr="005C089F">
        <w:tc>
          <w:tcPr>
            <w:tcW w:w="2972" w:type="dxa"/>
          </w:tcPr>
          <w:p w14:paraId="1833EA2A" w14:textId="77777777" w:rsidR="00A3466F" w:rsidRPr="001216CE" w:rsidRDefault="00A3466F" w:rsidP="005C089F">
            <w:r w:rsidRPr="001216CE">
              <w:t>Dog(s)</w:t>
            </w:r>
          </w:p>
        </w:tc>
        <w:tc>
          <w:tcPr>
            <w:tcW w:w="1701" w:type="dxa"/>
          </w:tcPr>
          <w:p w14:paraId="1AAB018F" w14:textId="46FD7835" w:rsidR="00A3466F" w:rsidRPr="001216CE" w:rsidRDefault="00DE4A5F" w:rsidP="005C089F">
            <w:r>
              <w:t>76.7</w:t>
            </w:r>
            <w:r w:rsidR="00A3466F" w:rsidRPr="001216CE">
              <w:t>%</w:t>
            </w:r>
            <w:r w:rsidR="00A3466F">
              <w:t xml:space="preserve"> (</w:t>
            </w:r>
            <w:r>
              <w:t>560</w:t>
            </w:r>
            <w:r w:rsidR="00A3466F">
              <w:t>)</w:t>
            </w:r>
          </w:p>
        </w:tc>
      </w:tr>
      <w:tr w:rsidR="00A3466F" w:rsidRPr="005240BC" w14:paraId="11A4CD52" w14:textId="77777777" w:rsidTr="005C089F">
        <w:tc>
          <w:tcPr>
            <w:tcW w:w="2972" w:type="dxa"/>
          </w:tcPr>
          <w:p w14:paraId="7AED7947" w14:textId="77777777" w:rsidR="00A3466F" w:rsidRPr="001216CE" w:rsidRDefault="00A3466F" w:rsidP="005C089F">
            <w:r w:rsidRPr="001216CE">
              <w:t>Cat(s)</w:t>
            </w:r>
          </w:p>
        </w:tc>
        <w:tc>
          <w:tcPr>
            <w:tcW w:w="1701" w:type="dxa"/>
          </w:tcPr>
          <w:p w14:paraId="03529182" w14:textId="14B62AE6" w:rsidR="00A3466F" w:rsidRPr="001216CE" w:rsidRDefault="00A3466F" w:rsidP="005C089F">
            <w:r w:rsidRPr="001216CE">
              <w:t>2</w:t>
            </w:r>
            <w:r w:rsidR="00DE4A5F">
              <w:t>8.5</w:t>
            </w:r>
            <w:r w:rsidRPr="001216CE">
              <w:t>%</w:t>
            </w:r>
            <w:r>
              <w:t xml:space="preserve"> (</w:t>
            </w:r>
            <w:r w:rsidR="00DE4A5F">
              <w:t>208</w:t>
            </w:r>
            <w:r>
              <w:t>)</w:t>
            </w:r>
          </w:p>
        </w:tc>
      </w:tr>
      <w:tr w:rsidR="00A3466F" w14:paraId="099C777C" w14:textId="77777777" w:rsidTr="005C089F">
        <w:tc>
          <w:tcPr>
            <w:tcW w:w="2972" w:type="dxa"/>
          </w:tcPr>
          <w:p w14:paraId="7A6572E4" w14:textId="77777777" w:rsidR="00A3466F" w:rsidRPr="001216CE" w:rsidRDefault="00A3466F" w:rsidP="005C089F">
            <w:r w:rsidRPr="001216CE">
              <w:t>Other animal</w:t>
            </w:r>
          </w:p>
        </w:tc>
        <w:tc>
          <w:tcPr>
            <w:tcW w:w="1701" w:type="dxa"/>
          </w:tcPr>
          <w:p w14:paraId="20F59D33" w14:textId="54960141" w:rsidR="00A3466F" w:rsidRPr="001216CE" w:rsidRDefault="00A3466F" w:rsidP="005C089F">
            <w:r w:rsidRPr="001216CE">
              <w:t>4.4%</w:t>
            </w:r>
            <w:r>
              <w:t xml:space="preserve"> (</w:t>
            </w:r>
            <w:r w:rsidR="00DE4A5F">
              <w:t>32</w:t>
            </w:r>
            <w:r>
              <w:t>)</w:t>
            </w:r>
          </w:p>
        </w:tc>
      </w:tr>
    </w:tbl>
    <w:p w14:paraId="52A08E3D" w14:textId="77777777" w:rsidR="00A3466F" w:rsidRDefault="00A3466F" w:rsidP="00A3466F"/>
    <w:p w14:paraId="747D8ADB" w14:textId="77777777" w:rsidR="00A3466F" w:rsidRDefault="00A3466F" w:rsidP="00A3466F">
      <w:r>
        <w:t>We asked boaters which area they did most of their boating in, over the last 12 months. This data is compared with where boats were seen in the annual National Boat Count in March 2022, below.</w:t>
      </w:r>
    </w:p>
    <w:tbl>
      <w:tblPr>
        <w:tblStyle w:val="TableGrid"/>
        <w:tblW w:w="0" w:type="auto"/>
        <w:tblLook w:val="04A0" w:firstRow="1" w:lastRow="0" w:firstColumn="1" w:lastColumn="0" w:noHBand="0" w:noVBand="1"/>
      </w:tblPr>
      <w:tblGrid>
        <w:gridCol w:w="3539"/>
        <w:gridCol w:w="2268"/>
        <w:gridCol w:w="2268"/>
      </w:tblGrid>
      <w:tr w:rsidR="00A3466F" w14:paraId="18BF7FAF" w14:textId="77777777" w:rsidTr="005C089F">
        <w:tc>
          <w:tcPr>
            <w:tcW w:w="3539" w:type="dxa"/>
          </w:tcPr>
          <w:p w14:paraId="0F44E574" w14:textId="77777777" w:rsidR="00A3466F" w:rsidRPr="00E3062C" w:rsidRDefault="00A3466F" w:rsidP="005C089F">
            <w:pPr>
              <w:rPr>
                <w:b/>
                <w:bCs/>
              </w:rPr>
            </w:pPr>
            <w:r w:rsidRPr="00E3062C">
              <w:rPr>
                <w:b/>
                <w:bCs/>
              </w:rPr>
              <w:t>Region</w:t>
            </w:r>
          </w:p>
        </w:tc>
        <w:tc>
          <w:tcPr>
            <w:tcW w:w="2268" w:type="dxa"/>
          </w:tcPr>
          <w:p w14:paraId="61234A36" w14:textId="77777777" w:rsidR="00A3466F" w:rsidRPr="00E3062C" w:rsidRDefault="00A3466F" w:rsidP="005C089F">
            <w:pPr>
              <w:rPr>
                <w:b/>
                <w:bCs/>
              </w:rPr>
            </w:pPr>
            <w:r w:rsidRPr="00E3062C">
              <w:rPr>
                <w:b/>
                <w:bCs/>
              </w:rPr>
              <w:t>Census Survey data</w:t>
            </w:r>
          </w:p>
        </w:tc>
        <w:tc>
          <w:tcPr>
            <w:tcW w:w="2268" w:type="dxa"/>
          </w:tcPr>
          <w:p w14:paraId="21E2E6DD" w14:textId="77777777" w:rsidR="00A3466F" w:rsidRPr="00E3062C" w:rsidRDefault="00A3466F" w:rsidP="005C089F">
            <w:pPr>
              <w:rPr>
                <w:b/>
                <w:bCs/>
              </w:rPr>
            </w:pPr>
            <w:r w:rsidRPr="00E3062C">
              <w:rPr>
                <w:b/>
                <w:bCs/>
              </w:rPr>
              <w:t>NBC data</w:t>
            </w:r>
          </w:p>
        </w:tc>
      </w:tr>
      <w:tr w:rsidR="00A3466F" w14:paraId="7D9F5516" w14:textId="77777777" w:rsidTr="005C089F">
        <w:tc>
          <w:tcPr>
            <w:tcW w:w="3539" w:type="dxa"/>
          </w:tcPr>
          <w:p w14:paraId="0592166C" w14:textId="77777777" w:rsidR="00A3466F" w:rsidRDefault="00A3466F" w:rsidP="005C089F">
            <w:r>
              <w:t>West Midlands</w:t>
            </w:r>
          </w:p>
        </w:tc>
        <w:tc>
          <w:tcPr>
            <w:tcW w:w="2268" w:type="dxa"/>
          </w:tcPr>
          <w:p w14:paraId="5072E967" w14:textId="0A1C2D39" w:rsidR="00A3466F" w:rsidRDefault="00A3466F" w:rsidP="005C089F">
            <w:r>
              <w:t>23.1% (2,</w:t>
            </w:r>
            <w:r w:rsidR="00DE4A5F">
              <w:t>180</w:t>
            </w:r>
            <w:r>
              <w:t>)</w:t>
            </w:r>
          </w:p>
        </w:tc>
        <w:tc>
          <w:tcPr>
            <w:tcW w:w="2268" w:type="dxa"/>
          </w:tcPr>
          <w:p w14:paraId="6370E8C9" w14:textId="77777777" w:rsidR="00A3466F" w:rsidRDefault="00A3466F" w:rsidP="005C089F">
            <w:r>
              <w:t>23.9% (8,434)</w:t>
            </w:r>
          </w:p>
        </w:tc>
      </w:tr>
      <w:tr w:rsidR="00A3466F" w14:paraId="6993EBEF" w14:textId="77777777" w:rsidTr="005C089F">
        <w:tc>
          <w:tcPr>
            <w:tcW w:w="3539" w:type="dxa"/>
          </w:tcPr>
          <w:p w14:paraId="649026AC" w14:textId="77777777" w:rsidR="00A3466F" w:rsidRDefault="00A3466F" w:rsidP="005C089F">
            <w:r>
              <w:t>East Midlands</w:t>
            </w:r>
          </w:p>
        </w:tc>
        <w:tc>
          <w:tcPr>
            <w:tcW w:w="2268" w:type="dxa"/>
          </w:tcPr>
          <w:p w14:paraId="09289417" w14:textId="2329354E" w:rsidR="00A3466F" w:rsidRDefault="00A3466F" w:rsidP="005C089F">
            <w:r>
              <w:t>2</w:t>
            </w:r>
            <w:r w:rsidR="00DE4A5F">
              <w:t>1.2</w:t>
            </w:r>
            <w:r>
              <w:t>% (</w:t>
            </w:r>
            <w:r w:rsidR="00DE4A5F">
              <w:t>1,997</w:t>
            </w:r>
            <w:r>
              <w:t>)</w:t>
            </w:r>
          </w:p>
        </w:tc>
        <w:tc>
          <w:tcPr>
            <w:tcW w:w="2268" w:type="dxa"/>
          </w:tcPr>
          <w:p w14:paraId="74C5F6A4" w14:textId="77777777" w:rsidR="00A3466F" w:rsidRDefault="00A3466F" w:rsidP="005C089F">
            <w:r>
              <w:t>17.1% (6,014)</w:t>
            </w:r>
          </w:p>
        </w:tc>
      </w:tr>
      <w:tr w:rsidR="00A3466F" w14:paraId="33AEDC67" w14:textId="77777777" w:rsidTr="005C089F">
        <w:tc>
          <w:tcPr>
            <w:tcW w:w="3539" w:type="dxa"/>
          </w:tcPr>
          <w:p w14:paraId="6ACF217D" w14:textId="77777777" w:rsidR="00A3466F" w:rsidRDefault="00A3466F" w:rsidP="005C089F">
            <w:r>
              <w:t>North West</w:t>
            </w:r>
          </w:p>
        </w:tc>
        <w:tc>
          <w:tcPr>
            <w:tcW w:w="2268" w:type="dxa"/>
          </w:tcPr>
          <w:p w14:paraId="2744A74E" w14:textId="212D3224" w:rsidR="00A3466F" w:rsidRDefault="00A3466F" w:rsidP="005C089F">
            <w:r>
              <w:t>17.</w:t>
            </w:r>
            <w:r w:rsidR="00DE4A5F">
              <w:t>3</w:t>
            </w:r>
            <w:r>
              <w:t>% (</w:t>
            </w:r>
            <w:r w:rsidR="00DE4A5F">
              <w:t>1,628</w:t>
            </w:r>
            <w:r>
              <w:t>)</w:t>
            </w:r>
          </w:p>
        </w:tc>
        <w:tc>
          <w:tcPr>
            <w:tcW w:w="2268" w:type="dxa"/>
          </w:tcPr>
          <w:p w14:paraId="0FD32E96" w14:textId="77777777" w:rsidR="00A3466F" w:rsidRDefault="00A3466F" w:rsidP="005C089F">
            <w:r>
              <w:t>17.1% (6,019)</w:t>
            </w:r>
          </w:p>
        </w:tc>
      </w:tr>
      <w:tr w:rsidR="00A3466F" w14:paraId="4D603BF9" w14:textId="77777777" w:rsidTr="005C089F">
        <w:tc>
          <w:tcPr>
            <w:tcW w:w="3539" w:type="dxa"/>
          </w:tcPr>
          <w:p w14:paraId="564A1FD4" w14:textId="77777777" w:rsidR="00A3466F" w:rsidRDefault="00A3466F" w:rsidP="005C089F">
            <w:r>
              <w:t>London &amp; South East</w:t>
            </w:r>
          </w:p>
        </w:tc>
        <w:tc>
          <w:tcPr>
            <w:tcW w:w="2268" w:type="dxa"/>
          </w:tcPr>
          <w:p w14:paraId="74B3DBA2" w14:textId="2C92450F" w:rsidR="00A3466F" w:rsidRDefault="00A3466F" w:rsidP="005C089F">
            <w:r>
              <w:t>16.</w:t>
            </w:r>
            <w:r w:rsidR="00DE4A5F">
              <w:t>0</w:t>
            </w:r>
            <w:r>
              <w:t>% (</w:t>
            </w:r>
            <w:r w:rsidR="00DE4A5F">
              <w:t>1,514</w:t>
            </w:r>
            <w:r>
              <w:t>)</w:t>
            </w:r>
          </w:p>
        </w:tc>
        <w:tc>
          <w:tcPr>
            <w:tcW w:w="2268" w:type="dxa"/>
          </w:tcPr>
          <w:p w14:paraId="32FDCAF7" w14:textId="60F502F1" w:rsidR="00A3466F" w:rsidRDefault="00DE4A5F" w:rsidP="005C089F">
            <w:r>
              <w:t>20.3% (7,157)</w:t>
            </w:r>
          </w:p>
        </w:tc>
      </w:tr>
      <w:tr w:rsidR="00A3466F" w14:paraId="3296710E" w14:textId="77777777" w:rsidTr="005C089F">
        <w:tc>
          <w:tcPr>
            <w:tcW w:w="3539" w:type="dxa"/>
          </w:tcPr>
          <w:p w14:paraId="7FE99BEA" w14:textId="77777777" w:rsidR="00A3466F" w:rsidRDefault="00A3466F" w:rsidP="005C089F">
            <w:r>
              <w:t>Wales &amp; South West</w:t>
            </w:r>
          </w:p>
        </w:tc>
        <w:tc>
          <w:tcPr>
            <w:tcW w:w="2268" w:type="dxa"/>
          </w:tcPr>
          <w:p w14:paraId="400F65C1" w14:textId="6E31A451" w:rsidR="00A3466F" w:rsidRDefault="00A3466F" w:rsidP="005C089F">
            <w:r>
              <w:t>9.</w:t>
            </w:r>
            <w:r w:rsidR="00DE4A5F">
              <w:t>8</w:t>
            </w:r>
            <w:r>
              <w:t>% (</w:t>
            </w:r>
            <w:r w:rsidR="00DE4A5F">
              <w:t>921</w:t>
            </w:r>
            <w:r>
              <w:t>)</w:t>
            </w:r>
          </w:p>
        </w:tc>
        <w:tc>
          <w:tcPr>
            <w:tcW w:w="2268" w:type="dxa"/>
          </w:tcPr>
          <w:p w14:paraId="29BF7FCC" w14:textId="278C526B" w:rsidR="00A3466F" w:rsidRDefault="00DE4A5F" w:rsidP="005C089F">
            <w:r>
              <w:t>12.4% (4,370)</w:t>
            </w:r>
          </w:p>
        </w:tc>
      </w:tr>
      <w:tr w:rsidR="00A3466F" w14:paraId="4BF31BDB" w14:textId="77777777" w:rsidTr="005C089F">
        <w:tc>
          <w:tcPr>
            <w:tcW w:w="3539" w:type="dxa"/>
          </w:tcPr>
          <w:p w14:paraId="507BE58D" w14:textId="77777777" w:rsidR="00A3466F" w:rsidRDefault="00A3466F" w:rsidP="005C089F">
            <w:r>
              <w:t>Yorkshire &amp; North East</w:t>
            </w:r>
          </w:p>
        </w:tc>
        <w:tc>
          <w:tcPr>
            <w:tcW w:w="2268" w:type="dxa"/>
          </w:tcPr>
          <w:p w14:paraId="3C22264B" w14:textId="4FAD954E" w:rsidR="00A3466F" w:rsidRDefault="00A3466F" w:rsidP="005C089F">
            <w:r>
              <w:t>7.</w:t>
            </w:r>
            <w:r w:rsidR="00A96460">
              <w:t>7</w:t>
            </w:r>
            <w:r>
              <w:t>% (</w:t>
            </w:r>
            <w:r w:rsidR="00A96460">
              <w:t>723</w:t>
            </w:r>
            <w:r>
              <w:t>)</w:t>
            </w:r>
          </w:p>
        </w:tc>
        <w:tc>
          <w:tcPr>
            <w:tcW w:w="2268" w:type="dxa"/>
          </w:tcPr>
          <w:p w14:paraId="0523DD72" w14:textId="77777777" w:rsidR="00A3466F" w:rsidRDefault="00A3466F" w:rsidP="005C089F">
            <w:r>
              <w:t>9.3% (3,268)</w:t>
            </w:r>
          </w:p>
        </w:tc>
      </w:tr>
      <w:tr w:rsidR="00A3466F" w14:paraId="6E0889EA" w14:textId="77777777" w:rsidTr="005C089F">
        <w:tc>
          <w:tcPr>
            <w:tcW w:w="3539" w:type="dxa"/>
          </w:tcPr>
          <w:p w14:paraId="4880784D" w14:textId="77777777" w:rsidR="00A3466F" w:rsidRDefault="00A3466F" w:rsidP="005C089F">
            <w:r>
              <w:t>None/unable to boat this year</w:t>
            </w:r>
          </w:p>
        </w:tc>
        <w:tc>
          <w:tcPr>
            <w:tcW w:w="2268" w:type="dxa"/>
          </w:tcPr>
          <w:p w14:paraId="0393F05A" w14:textId="01F4A0F0" w:rsidR="00A3466F" w:rsidRDefault="00A96460" w:rsidP="005C089F">
            <w:r>
              <w:t>5.0</w:t>
            </w:r>
            <w:r w:rsidR="00A3466F">
              <w:t>% (</w:t>
            </w:r>
            <w:r>
              <w:t>473</w:t>
            </w:r>
            <w:r w:rsidR="00A3466F">
              <w:t>)</w:t>
            </w:r>
          </w:p>
        </w:tc>
        <w:tc>
          <w:tcPr>
            <w:tcW w:w="2268" w:type="dxa"/>
          </w:tcPr>
          <w:p w14:paraId="5D786005" w14:textId="77777777" w:rsidR="00A3466F" w:rsidRDefault="00A3466F" w:rsidP="005C089F"/>
        </w:tc>
      </w:tr>
    </w:tbl>
    <w:p w14:paraId="589FB7A3" w14:textId="77777777" w:rsidR="00A3466F" w:rsidRDefault="00A3466F" w:rsidP="00A3466F">
      <w:pPr>
        <w:rPr>
          <w:i/>
          <w:iCs/>
        </w:rPr>
      </w:pPr>
    </w:p>
    <w:p w14:paraId="0254DC22" w14:textId="77777777" w:rsidR="00A3466F" w:rsidRPr="00C87A13" w:rsidRDefault="00A3466F" w:rsidP="00A3466F">
      <w:pPr>
        <w:rPr>
          <w:i/>
          <w:iCs/>
        </w:rPr>
      </w:pPr>
      <w:r w:rsidRPr="00C87A13">
        <w:rPr>
          <w:i/>
          <w:iCs/>
        </w:rPr>
        <w:t>Note: For operational purposes, North Wales is managed by the West Midlands region.</w:t>
      </w:r>
    </w:p>
    <w:p w14:paraId="0C8DB7C1" w14:textId="77777777" w:rsidR="00A3466F" w:rsidRDefault="00A3466F" w:rsidP="00A3466F"/>
    <w:p w14:paraId="33CF31D2" w14:textId="77777777" w:rsidR="00A3466F" w:rsidRDefault="00A3466F" w:rsidP="00A3466F">
      <w:pPr>
        <w:rPr>
          <w:highlight w:val="green"/>
        </w:rPr>
      </w:pPr>
      <w:r>
        <w:rPr>
          <w:highlight w:val="green"/>
        </w:rPr>
        <w:br w:type="page"/>
      </w:r>
    </w:p>
    <w:p w14:paraId="2EB7136E" w14:textId="77777777" w:rsidR="00A3466F" w:rsidRPr="0066077F" w:rsidRDefault="00A3466F" w:rsidP="00A3466F">
      <w:pPr>
        <w:pStyle w:val="Heading1"/>
      </w:pPr>
      <w:bookmarkStart w:id="4" w:name="_Toc132711572"/>
      <w:r w:rsidRPr="0066077F">
        <w:lastRenderedPageBreak/>
        <w:t>Disabilities and benefits</w:t>
      </w:r>
      <w:bookmarkEnd w:id="4"/>
    </w:p>
    <w:p w14:paraId="40713EDC" w14:textId="77777777" w:rsidR="00A3466F" w:rsidRDefault="00A3466F" w:rsidP="00A3466F">
      <w:pPr>
        <w:rPr>
          <w:b/>
          <w:bCs/>
        </w:rPr>
      </w:pPr>
    </w:p>
    <w:p w14:paraId="53856296" w14:textId="77777777" w:rsidR="00A3466F" w:rsidRPr="00C94CDA" w:rsidRDefault="00A3466F" w:rsidP="00A3466F">
      <w:pPr>
        <w:rPr>
          <w:b/>
          <w:bCs/>
        </w:rPr>
      </w:pPr>
      <w:bookmarkStart w:id="5" w:name="_Toc132711573"/>
      <w:r w:rsidRPr="00C94CDA">
        <w:rPr>
          <w:b/>
          <w:bCs/>
        </w:rPr>
        <w:t>Disabilities</w:t>
      </w:r>
      <w:bookmarkEnd w:id="5"/>
    </w:p>
    <w:p w14:paraId="3F2402C9" w14:textId="08DD6DCA" w:rsidR="00A3466F" w:rsidRPr="00C94CDA" w:rsidRDefault="00A3466F" w:rsidP="00A3466F">
      <w:r>
        <w:t>Many boaters report that their day-to-day activities are limited because of a long-term health problem or disability. The 2021 Census of England and Wales</w:t>
      </w:r>
      <w:r>
        <w:rPr>
          <w:vertAlign w:val="superscript"/>
        </w:rPr>
        <w:t>2</w:t>
      </w:r>
      <w:r>
        <w:t xml:space="preserve"> indicates that </w:t>
      </w:r>
      <w:r w:rsidRPr="00753701">
        <w:rPr>
          <w:b/>
          <w:bCs/>
        </w:rPr>
        <w:t>17.8%</w:t>
      </w:r>
      <w:r>
        <w:t xml:space="preserve"> of the population are disabled people. Our Census Survey suggests that proportion is </w:t>
      </w:r>
      <w:r w:rsidR="00AB568D">
        <w:t>considerably</w:t>
      </w:r>
      <w:r>
        <w:t xml:space="preserve"> higher among the boating population.</w:t>
      </w:r>
    </w:p>
    <w:p w14:paraId="638BC13E" w14:textId="77777777" w:rsidR="00A3466F" w:rsidRPr="00C87A13" w:rsidRDefault="00A3466F" w:rsidP="00A3466F">
      <w:pPr>
        <w:rPr>
          <w:b/>
          <w:bCs/>
          <w:i/>
          <w:iCs/>
        </w:rPr>
      </w:pPr>
      <w:r w:rsidRPr="00C87A13">
        <w:rPr>
          <w:i/>
          <w:iCs/>
        </w:rPr>
        <w:t>2. See www.ons.gov.uk</w:t>
      </w:r>
      <w:r w:rsidRPr="00C87A13">
        <w:rPr>
          <w:b/>
          <w:bCs/>
          <w:i/>
          <w:iCs/>
        </w:rPr>
        <w:t xml:space="preserve"> </w:t>
      </w:r>
    </w:p>
    <w:p w14:paraId="03815AC4" w14:textId="77777777" w:rsidR="00A3466F" w:rsidRDefault="00A3466F" w:rsidP="00A3466F"/>
    <w:tbl>
      <w:tblPr>
        <w:tblStyle w:val="TableGrid"/>
        <w:tblW w:w="0" w:type="auto"/>
        <w:tblLook w:val="04A0" w:firstRow="1" w:lastRow="0" w:firstColumn="1" w:lastColumn="0" w:noHBand="0" w:noVBand="1"/>
      </w:tblPr>
      <w:tblGrid>
        <w:gridCol w:w="2263"/>
        <w:gridCol w:w="6753"/>
      </w:tblGrid>
      <w:tr w:rsidR="00A3466F" w14:paraId="7C795F27" w14:textId="77777777" w:rsidTr="005C089F">
        <w:tc>
          <w:tcPr>
            <w:tcW w:w="2263" w:type="dxa"/>
          </w:tcPr>
          <w:p w14:paraId="1483D29E" w14:textId="77777777" w:rsidR="00A3466F" w:rsidRDefault="00A3466F" w:rsidP="005C089F">
            <w:pPr>
              <w:rPr>
                <w:noProof/>
              </w:rPr>
            </w:pPr>
            <w:r>
              <w:rPr>
                <w:noProof/>
              </w:rPr>
              <w:t>No</w:t>
            </w:r>
          </w:p>
        </w:tc>
        <w:tc>
          <w:tcPr>
            <w:tcW w:w="6753" w:type="dxa"/>
          </w:tcPr>
          <w:p w14:paraId="2033C0D5" w14:textId="7B7847C9" w:rsidR="00A3466F" w:rsidRDefault="00AB568D" w:rsidP="005C089F">
            <w:pPr>
              <w:rPr>
                <w:noProof/>
              </w:rPr>
            </w:pPr>
            <w:r>
              <w:rPr>
                <w:noProof/>
              </w:rPr>
              <w:t>59.3</w:t>
            </w:r>
            <w:r w:rsidR="00A3466F">
              <w:rPr>
                <w:noProof/>
              </w:rPr>
              <w:t>% (</w:t>
            </w:r>
            <w:r>
              <w:rPr>
                <w:noProof/>
              </w:rPr>
              <w:t>3,220</w:t>
            </w:r>
            <w:r w:rsidR="00A3466F">
              <w:rPr>
                <w:noProof/>
              </w:rPr>
              <w:t>)</w:t>
            </w:r>
          </w:p>
        </w:tc>
      </w:tr>
      <w:tr w:rsidR="00A3466F" w14:paraId="165F2E6F" w14:textId="77777777" w:rsidTr="005C089F">
        <w:tc>
          <w:tcPr>
            <w:tcW w:w="2263" w:type="dxa"/>
          </w:tcPr>
          <w:p w14:paraId="574448B6" w14:textId="77777777" w:rsidR="00A3466F" w:rsidRDefault="00A3466F" w:rsidP="005C089F">
            <w:pPr>
              <w:rPr>
                <w:noProof/>
              </w:rPr>
            </w:pPr>
            <w:r>
              <w:rPr>
                <w:noProof/>
              </w:rPr>
              <w:t>Yes, limited a little</w:t>
            </w:r>
          </w:p>
        </w:tc>
        <w:tc>
          <w:tcPr>
            <w:tcW w:w="6753" w:type="dxa"/>
          </w:tcPr>
          <w:p w14:paraId="71A65D88" w14:textId="601A55EA" w:rsidR="00A3466F" w:rsidRDefault="00AB568D" w:rsidP="005C089F">
            <w:pPr>
              <w:rPr>
                <w:noProof/>
              </w:rPr>
            </w:pPr>
            <w:r>
              <w:rPr>
                <w:noProof/>
              </w:rPr>
              <w:t>23.6</w:t>
            </w:r>
            <w:r w:rsidR="00A3466F">
              <w:rPr>
                <w:noProof/>
              </w:rPr>
              <w:t>% (1,</w:t>
            </w:r>
            <w:r>
              <w:rPr>
                <w:noProof/>
              </w:rPr>
              <w:t>408</w:t>
            </w:r>
            <w:r w:rsidR="00A3466F">
              <w:rPr>
                <w:noProof/>
              </w:rPr>
              <w:t>)</w:t>
            </w:r>
          </w:p>
        </w:tc>
      </w:tr>
      <w:tr w:rsidR="00A3466F" w14:paraId="12A7BEC6" w14:textId="77777777" w:rsidTr="005C089F">
        <w:tc>
          <w:tcPr>
            <w:tcW w:w="2263" w:type="dxa"/>
          </w:tcPr>
          <w:p w14:paraId="5C850DE6" w14:textId="77777777" w:rsidR="00A3466F" w:rsidRDefault="00A3466F" w:rsidP="005C089F">
            <w:pPr>
              <w:rPr>
                <w:noProof/>
              </w:rPr>
            </w:pPr>
            <w:r>
              <w:rPr>
                <w:noProof/>
              </w:rPr>
              <w:t>Yes, limited a lot</w:t>
            </w:r>
          </w:p>
        </w:tc>
        <w:tc>
          <w:tcPr>
            <w:tcW w:w="6753" w:type="dxa"/>
          </w:tcPr>
          <w:p w14:paraId="77730585" w14:textId="4D51D51F" w:rsidR="00A3466F" w:rsidRDefault="00AB568D" w:rsidP="005C089F">
            <w:pPr>
              <w:rPr>
                <w:noProof/>
              </w:rPr>
            </w:pPr>
            <w:r>
              <w:rPr>
                <w:noProof/>
              </w:rPr>
              <w:t>10.1%</w:t>
            </w:r>
            <w:r w:rsidR="00A3466F">
              <w:rPr>
                <w:noProof/>
              </w:rPr>
              <w:t>% (</w:t>
            </w:r>
            <w:r>
              <w:rPr>
                <w:noProof/>
              </w:rPr>
              <w:t>601</w:t>
            </w:r>
            <w:r w:rsidR="00A3466F">
              <w:rPr>
                <w:noProof/>
              </w:rPr>
              <w:t>)</w:t>
            </w:r>
          </w:p>
        </w:tc>
      </w:tr>
      <w:tr w:rsidR="00A3466F" w14:paraId="24FE2910" w14:textId="77777777" w:rsidTr="005C089F">
        <w:tc>
          <w:tcPr>
            <w:tcW w:w="2263" w:type="dxa"/>
          </w:tcPr>
          <w:p w14:paraId="484E645B" w14:textId="77777777" w:rsidR="00A3466F" w:rsidRDefault="00A3466F" w:rsidP="005C089F">
            <w:pPr>
              <w:rPr>
                <w:noProof/>
              </w:rPr>
            </w:pPr>
            <w:r>
              <w:rPr>
                <w:noProof/>
              </w:rPr>
              <w:t>N/A</w:t>
            </w:r>
          </w:p>
        </w:tc>
        <w:tc>
          <w:tcPr>
            <w:tcW w:w="6753" w:type="dxa"/>
          </w:tcPr>
          <w:p w14:paraId="026CDA45" w14:textId="40A9EB18" w:rsidR="00A3466F" w:rsidRDefault="00AB568D" w:rsidP="005C089F">
            <w:pPr>
              <w:rPr>
                <w:noProof/>
              </w:rPr>
            </w:pPr>
            <w:r>
              <w:rPr>
                <w:noProof/>
              </w:rPr>
              <w:t>8</w:t>
            </w:r>
            <w:r w:rsidR="00A3466F">
              <w:rPr>
                <w:noProof/>
              </w:rPr>
              <w:t>.4% (</w:t>
            </w:r>
            <w:r>
              <w:rPr>
                <w:noProof/>
              </w:rPr>
              <w:t>501</w:t>
            </w:r>
            <w:r w:rsidR="00A3466F">
              <w:rPr>
                <w:noProof/>
              </w:rPr>
              <w:t>)</w:t>
            </w:r>
          </w:p>
        </w:tc>
      </w:tr>
      <w:tr w:rsidR="00A3466F" w14:paraId="42F305E5" w14:textId="77777777" w:rsidTr="005C089F">
        <w:tc>
          <w:tcPr>
            <w:tcW w:w="2263" w:type="dxa"/>
          </w:tcPr>
          <w:p w14:paraId="457A13CC" w14:textId="77777777" w:rsidR="00A3466F" w:rsidRDefault="00A3466F" w:rsidP="005C089F">
            <w:pPr>
              <w:rPr>
                <w:noProof/>
              </w:rPr>
            </w:pPr>
            <w:r>
              <w:rPr>
                <w:noProof/>
              </w:rPr>
              <w:t>Prefer not to say</w:t>
            </w:r>
          </w:p>
        </w:tc>
        <w:tc>
          <w:tcPr>
            <w:tcW w:w="6753" w:type="dxa"/>
          </w:tcPr>
          <w:p w14:paraId="77564070" w14:textId="3A4800FA" w:rsidR="00A3466F" w:rsidRDefault="00AB568D" w:rsidP="005C089F">
            <w:pPr>
              <w:rPr>
                <w:noProof/>
              </w:rPr>
            </w:pPr>
            <w:r>
              <w:rPr>
                <w:noProof/>
              </w:rPr>
              <w:t>4.0</w:t>
            </w:r>
            <w:r w:rsidR="00A3466F">
              <w:rPr>
                <w:noProof/>
              </w:rPr>
              <w:t>% (2</w:t>
            </w:r>
            <w:r>
              <w:rPr>
                <w:noProof/>
              </w:rPr>
              <w:t>40</w:t>
            </w:r>
            <w:r w:rsidR="00A3466F">
              <w:rPr>
                <w:noProof/>
              </w:rPr>
              <w:t>)</w:t>
            </w:r>
          </w:p>
        </w:tc>
      </w:tr>
    </w:tbl>
    <w:p w14:paraId="0035E9C1" w14:textId="77777777" w:rsidR="00A3466F" w:rsidRDefault="00A3466F" w:rsidP="00A3466F">
      <w:pPr>
        <w:rPr>
          <w:noProof/>
        </w:rPr>
      </w:pPr>
    </w:p>
    <w:p w14:paraId="2F553023" w14:textId="279CEDDF" w:rsidR="00A3466F" w:rsidRDefault="00AB568D" w:rsidP="00A3466F">
      <w:r>
        <w:t>‘</w:t>
      </w:r>
      <w:r w:rsidR="00A3466F">
        <w:t>Yes, limited a little</w:t>
      </w:r>
      <w:r>
        <w:t>’</w:t>
      </w:r>
      <w:r w:rsidR="00A3466F">
        <w:t xml:space="preserve"> breakdown:</w:t>
      </w:r>
    </w:p>
    <w:tbl>
      <w:tblPr>
        <w:tblStyle w:val="TableGrid"/>
        <w:tblW w:w="0" w:type="auto"/>
        <w:tblLook w:val="04A0" w:firstRow="1" w:lastRow="0" w:firstColumn="1" w:lastColumn="0" w:noHBand="0" w:noVBand="1"/>
      </w:tblPr>
      <w:tblGrid>
        <w:gridCol w:w="3256"/>
        <w:gridCol w:w="2551"/>
      </w:tblGrid>
      <w:tr w:rsidR="00A3466F" w:rsidRPr="005240BC" w14:paraId="7AA8EA5C" w14:textId="77777777" w:rsidTr="005C089F">
        <w:tc>
          <w:tcPr>
            <w:tcW w:w="3256" w:type="dxa"/>
          </w:tcPr>
          <w:p w14:paraId="722469D5" w14:textId="77777777" w:rsidR="00A3466F" w:rsidRPr="001216CE" w:rsidRDefault="00A3466F" w:rsidP="005C089F">
            <w:r>
              <w:t>Mobility or gross motor</w:t>
            </w:r>
          </w:p>
        </w:tc>
        <w:tc>
          <w:tcPr>
            <w:tcW w:w="2551" w:type="dxa"/>
          </w:tcPr>
          <w:p w14:paraId="79FD04AA" w14:textId="242606B5" w:rsidR="00A3466F" w:rsidRPr="001216CE" w:rsidRDefault="00906E6B" w:rsidP="005C089F">
            <w:r>
              <w:t>33.3% (287)</w:t>
            </w:r>
          </w:p>
        </w:tc>
      </w:tr>
      <w:tr w:rsidR="00A3466F" w:rsidRPr="005240BC" w14:paraId="2F1E516F" w14:textId="77777777" w:rsidTr="005C089F">
        <w:tc>
          <w:tcPr>
            <w:tcW w:w="3256" w:type="dxa"/>
          </w:tcPr>
          <w:p w14:paraId="3D33CE52" w14:textId="77777777" w:rsidR="00A3466F" w:rsidRPr="001216CE" w:rsidRDefault="00A3466F" w:rsidP="005C089F">
            <w:r>
              <w:t>Manual dexterity</w:t>
            </w:r>
          </w:p>
        </w:tc>
        <w:tc>
          <w:tcPr>
            <w:tcW w:w="2551" w:type="dxa"/>
          </w:tcPr>
          <w:p w14:paraId="077F0638" w14:textId="095C839D" w:rsidR="00A3466F" w:rsidRPr="001216CE" w:rsidRDefault="00906E6B" w:rsidP="005C089F">
            <w:r>
              <w:t>18.9% (163)</w:t>
            </w:r>
          </w:p>
        </w:tc>
      </w:tr>
      <w:tr w:rsidR="00A3466F" w:rsidRPr="005240BC" w14:paraId="4B9B3821" w14:textId="77777777" w:rsidTr="005C089F">
        <w:tc>
          <w:tcPr>
            <w:tcW w:w="3256" w:type="dxa"/>
          </w:tcPr>
          <w:p w14:paraId="3926E6EB" w14:textId="77777777" w:rsidR="00A3466F" w:rsidRPr="001216CE" w:rsidRDefault="00A3466F" w:rsidP="005C089F">
            <w:r>
              <w:t>Progressive conditions and physical health (e.g. cancer, MS)</w:t>
            </w:r>
          </w:p>
        </w:tc>
        <w:tc>
          <w:tcPr>
            <w:tcW w:w="2551" w:type="dxa"/>
          </w:tcPr>
          <w:p w14:paraId="247585D0" w14:textId="2235BDCC" w:rsidR="00A3466F" w:rsidRPr="001216CE" w:rsidRDefault="00906E6B" w:rsidP="005C089F">
            <w:r>
              <w:t>11.9% (103)</w:t>
            </w:r>
          </w:p>
        </w:tc>
      </w:tr>
      <w:tr w:rsidR="00A3466F" w:rsidRPr="005240BC" w14:paraId="022CD1B3" w14:textId="77777777" w:rsidTr="005C089F">
        <w:tc>
          <w:tcPr>
            <w:tcW w:w="3256" w:type="dxa"/>
          </w:tcPr>
          <w:p w14:paraId="1CC53357" w14:textId="77777777" w:rsidR="00A3466F" w:rsidRPr="001216CE" w:rsidRDefault="00A3466F" w:rsidP="005C089F">
            <w:r>
              <w:t>Behavioural and emotional</w:t>
            </w:r>
          </w:p>
        </w:tc>
        <w:tc>
          <w:tcPr>
            <w:tcW w:w="2551" w:type="dxa"/>
          </w:tcPr>
          <w:p w14:paraId="544F52EB" w14:textId="260F548D" w:rsidR="00A3466F" w:rsidRPr="001216CE" w:rsidRDefault="00906E6B" w:rsidP="005C089F">
            <w:r>
              <w:t>8.1% (70)</w:t>
            </w:r>
          </w:p>
        </w:tc>
      </w:tr>
      <w:tr w:rsidR="00A3466F" w:rsidRPr="005240BC" w14:paraId="7EF600E5" w14:textId="77777777" w:rsidTr="005C089F">
        <w:tc>
          <w:tcPr>
            <w:tcW w:w="3256" w:type="dxa"/>
          </w:tcPr>
          <w:p w14:paraId="0C7568B8" w14:textId="77777777" w:rsidR="00A3466F" w:rsidRPr="001216CE" w:rsidRDefault="00A3466F" w:rsidP="005C089F">
            <w:r>
              <w:t>Hearing</w:t>
            </w:r>
          </w:p>
        </w:tc>
        <w:tc>
          <w:tcPr>
            <w:tcW w:w="2551" w:type="dxa"/>
          </w:tcPr>
          <w:p w14:paraId="0F3F002A" w14:textId="2CD2150C" w:rsidR="00A3466F" w:rsidRPr="001216CE" w:rsidRDefault="00906E6B" w:rsidP="005C089F">
            <w:r>
              <w:t>6.4% (55)</w:t>
            </w:r>
          </w:p>
        </w:tc>
      </w:tr>
      <w:tr w:rsidR="00A3466F" w:rsidRPr="005240BC" w14:paraId="61F7DE4C" w14:textId="77777777" w:rsidTr="005C089F">
        <w:tc>
          <w:tcPr>
            <w:tcW w:w="3256" w:type="dxa"/>
          </w:tcPr>
          <w:p w14:paraId="3E8D443F" w14:textId="77777777" w:rsidR="00A3466F" w:rsidRPr="001216CE" w:rsidRDefault="00A3466F" w:rsidP="005C089F">
            <w:r>
              <w:t>Sight</w:t>
            </w:r>
          </w:p>
        </w:tc>
        <w:tc>
          <w:tcPr>
            <w:tcW w:w="2551" w:type="dxa"/>
          </w:tcPr>
          <w:p w14:paraId="4C7FE819" w14:textId="2F9B8777" w:rsidR="00A3466F" w:rsidRPr="001216CE" w:rsidRDefault="00906E6B" w:rsidP="005C089F">
            <w:r>
              <w:t>2.9% (25)</w:t>
            </w:r>
          </w:p>
        </w:tc>
      </w:tr>
      <w:tr w:rsidR="00A3466F" w14:paraId="66D20943" w14:textId="77777777" w:rsidTr="005C089F">
        <w:tc>
          <w:tcPr>
            <w:tcW w:w="3256" w:type="dxa"/>
          </w:tcPr>
          <w:p w14:paraId="7D17F3EE" w14:textId="77777777" w:rsidR="00A3466F" w:rsidRPr="001216CE" w:rsidRDefault="00A3466F" w:rsidP="005C089F">
            <w:r>
              <w:t>Memory, learning, concentration</w:t>
            </w:r>
          </w:p>
        </w:tc>
        <w:tc>
          <w:tcPr>
            <w:tcW w:w="2551" w:type="dxa"/>
          </w:tcPr>
          <w:p w14:paraId="1AF5E800" w14:textId="21D7C983" w:rsidR="00A3466F" w:rsidRPr="001216CE" w:rsidRDefault="00906E6B" w:rsidP="005C089F">
            <w:r>
              <w:t>4.4% (38)</w:t>
            </w:r>
          </w:p>
        </w:tc>
      </w:tr>
    </w:tbl>
    <w:p w14:paraId="22BA3133" w14:textId="77777777" w:rsidR="00A3466F" w:rsidRDefault="00A3466F" w:rsidP="00A3466F"/>
    <w:p w14:paraId="5BFE2D8B" w14:textId="6F338DD2" w:rsidR="00A3466F" w:rsidRDefault="00AB568D" w:rsidP="00A3466F">
      <w:r>
        <w:t>‘</w:t>
      </w:r>
      <w:r w:rsidR="00A3466F">
        <w:t>Yes, limited a lot</w:t>
      </w:r>
      <w:r>
        <w:t>’</w:t>
      </w:r>
      <w:r w:rsidR="00A3466F">
        <w:t xml:space="preserve"> breakdown:</w:t>
      </w:r>
    </w:p>
    <w:tbl>
      <w:tblPr>
        <w:tblStyle w:val="TableGrid"/>
        <w:tblW w:w="0" w:type="auto"/>
        <w:tblLook w:val="04A0" w:firstRow="1" w:lastRow="0" w:firstColumn="1" w:lastColumn="0" w:noHBand="0" w:noVBand="1"/>
      </w:tblPr>
      <w:tblGrid>
        <w:gridCol w:w="3256"/>
        <w:gridCol w:w="2551"/>
      </w:tblGrid>
      <w:tr w:rsidR="00A3466F" w:rsidRPr="005240BC" w14:paraId="32DB73BC" w14:textId="77777777" w:rsidTr="005C089F">
        <w:tc>
          <w:tcPr>
            <w:tcW w:w="3256" w:type="dxa"/>
          </w:tcPr>
          <w:p w14:paraId="41261A4B" w14:textId="77777777" w:rsidR="00A3466F" w:rsidRPr="001216CE" w:rsidRDefault="00A3466F" w:rsidP="005C089F">
            <w:r>
              <w:t>Mobility or gross motor</w:t>
            </w:r>
          </w:p>
        </w:tc>
        <w:tc>
          <w:tcPr>
            <w:tcW w:w="2551" w:type="dxa"/>
          </w:tcPr>
          <w:p w14:paraId="6DCB7F31" w14:textId="290F2F54" w:rsidR="00A3466F" w:rsidRPr="001216CE" w:rsidRDefault="00906E6B" w:rsidP="005C089F">
            <w:r>
              <w:t>31.3% (161)</w:t>
            </w:r>
          </w:p>
        </w:tc>
      </w:tr>
      <w:tr w:rsidR="00A3466F" w:rsidRPr="005240BC" w14:paraId="5704DABB" w14:textId="77777777" w:rsidTr="005C089F">
        <w:tc>
          <w:tcPr>
            <w:tcW w:w="3256" w:type="dxa"/>
          </w:tcPr>
          <w:p w14:paraId="27F3D3BB" w14:textId="77777777" w:rsidR="00A3466F" w:rsidRPr="001216CE" w:rsidRDefault="00A3466F" w:rsidP="005C089F">
            <w:r>
              <w:t>Manual dexterity</w:t>
            </w:r>
          </w:p>
        </w:tc>
        <w:tc>
          <w:tcPr>
            <w:tcW w:w="2551" w:type="dxa"/>
          </w:tcPr>
          <w:p w14:paraId="500E7E01" w14:textId="6E3023FC" w:rsidR="00A3466F" w:rsidRPr="001216CE" w:rsidRDefault="00906E6B" w:rsidP="005C089F">
            <w:r>
              <w:t>14.0% (72)</w:t>
            </w:r>
          </w:p>
        </w:tc>
      </w:tr>
      <w:tr w:rsidR="00A3466F" w:rsidRPr="005240BC" w14:paraId="18A79240" w14:textId="77777777" w:rsidTr="005C089F">
        <w:tc>
          <w:tcPr>
            <w:tcW w:w="3256" w:type="dxa"/>
          </w:tcPr>
          <w:p w14:paraId="70482720" w14:textId="77777777" w:rsidR="00A3466F" w:rsidRPr="001216CE" w:rsidRDefault="00A3466F" w:rsidP="005C089F">
            <w:r>
              <w:t>Progressive conditions and physical health (e.g. cancer, MS)</w:t>
            </w:r>
          </w:p>
        </w:tc>
        <w:tc>
          <w:tcPr>
            <w:tcW w:w="2551" w:type="dxa"/>
          </w:tcPr>
          <w:p w14:paraId="1B11E5BF" w14:textId="4AFD21DF" w:rsidR="00A3466F" w:rsidRPr="001216CE" w:rsidRDefault="00906E6B" w:rsidP="005C089F">
            <w:r>
              <w:t>16.3% (84)</w:t>
            </w:r>
          </w:p>
        </w:tc>
      </w:tr>
      <w:tr w:rsidR="00A3466F" w:rsidRPr="005240BC" w14:paraId="34DA9DEC" w14:textId="77777777" w:rsidTr="005C089F">
        <w:tc>
          <w:tcPr>
            <w:tcW w:w="3256" w:type="dxa"/>
          </w:tcPr>
          <w:p w14:paraId="6FA26E20" w14:textId="77777777" w:rsidR="00A3466F" w:rsidRPr="001216CE" w:rsidRDefault="00A3466F" w:rsidP="005C089F">
            <w:r>
              <w:t>Behavioural and emotional</w:t>
            </w:r>
          </w:p>
        </w:tc>
        <w:tc>
          <w:tcPr>
            <w:tcW w:w="2551" w:type="dxa"/>
          </w:tcPr>
          <w:p w14:paraId="4567A967" w14:textId="4E24F7E7" w:rsidR="00A3466F" w:rsidRPr="001216CE" w:rsidRDefault="00906E6B" w:rsidP="005C089F">
            <w:r>
              <w:t>9.7% (50)</w:t>
            </w:r>
          </w:p>
        </w:tc>
      </w:tr>
      <w:tr w:rsidR="00A3466F" w:rsidRPr="005240BC" w14:paraId="1FFFE6B0" w14:textId="77777777" w:rsidTr="005C089F">
        <w:tc>
          <w:tcPr>
            <w:tcW w:w="3256" w:type="dxa"/>
          </w:tcPr>
          <w:p w14:paraId="41E947D7" w14:textId="77777777" w:rsidR="00A3466F" w:rsidRPr="001216CE" w:rsidRDefault="00A3466F" w:rsidP="005C089F">
            <w:r>
              <w:t>Hearing</w:t>
            </w:r>
          </w:p>
        </w:tc>
        <w:tc>
          <w:tcPr>
            <w:tcW w:w="2551" w:type="dxa"/>
          </w:tcPr>
          <w:p w14:paraId="2D75EC88" w14:textId="2B13B8FF" w:rsidR="00A3466F" w:rsidRPr="001216CE" w:rsidRDefault="00906E6B" w:rsidP="005C089F">
            <w:r>
              <w:t>5.2% (27)</w:t>
            </w:r>
          </w:p>
        </w:tc>
      </w:tr>
      <w:tr w:rsidR="00A3466F" w:rsidRPr="005240BC" w14:paraId="53620B05" w14:textId="77777777" w:rsidTr="005C089F">
        <w:tc>
          <w:tcPr>
            <w:tcW w:w="3256" w:type="dxa"/>
          </w:tcPr>
          <w:p w14:paraId="3741BA24" w14:textId="77777777" w:rsidR="00A3466F" w:rsidRPr="001216CE" w:rsidRDefault="00A3466F" w:rsidP="005C089F">
            <w:r>
              <w:t>Sight</w:t>
            </w:r>
          </w:p>
        </w:tc>
        <w:tc>
          <w:tcPr>
            <w:tcW w:w="2551" w:type="dxa"/>
          </w:tcPr>
          <w:p w14:paraId="6F8EC680" w14:textId="345F3FC5" w:rsidR="00A3466F" w:rsidRPr="001216CE" w:rsidRDefault="00906E6B" w:rsidP="005C089F">
            <w:r>
              <w:t>3.7% (19)</w:t>
            </w:r>
          </w:p>
        </w:tc>
      </w:tr>
      <w:tr w:rsidR="00A3466F" w14:paraId="19CCE54E" w14:textId="77777777" w:rsidTr="005C089F">
        <w:tc>
          <w:tcPr>
            <w:tcW w:w="3256" w:type="dxa"/>
          </w:tcPr>
          <w:p w14:paraId="734D95A8" w14:textId="77777777" w:rsidR="00A3466F" w:rsidRPr="001216CE" w:rsidRDefault="00A3466F" w:rsidP="005C089F">
            <w:r>
              <w:t>Memory, learning, concentration</w:t>
            </w:r>
          </w:p>
        </w:tc>
        <w:tc>
          <w:tcPr>
            <w:tcW w:w="2551" w:type="dxa"/>
          </w:tcPr>
          <w:p w14:paraId="02733BE1" w14:textId="065B3F66" w:rsidR="00A3466F" w:rsidRPr="001216CE" w:rsidRDefault="00906E6B" w:rsidP="005C089F">
            <w:r>
              <w:t>7.2% (37)</w:t>
            </w:r>
          </w:p>
        </w:tc>
      </w:tr>
    </w:tbl>
    <w:p w14:paraId="6485AE83" w14:textId="77777777" w:rsidR="00A3466F" w:rsidRDefault="00A3466F" w:rsidP="00A3466F">
      <w:pPr>
        <w:rPr>
          <w:b/>
          <w:bCs/>
        </w:rPr>
      </w:pPr>
      <w:bookmarkStart w:id="6" w:name="_Toc132711574"/>
    </w:p>
    <w:p w14:paraId="7784CBE0" w14:textId="77777777" w:rsidR="00A3466F" w:rsidRPr="00C94CDA" w:rsidRDefault="00A3466F" w:rsidP="00A3466F">
      <w:pPr>
        <w:rPr>
          <w:b/>
          <w:bCs/>
        </w:rPr>
      </w:pPr>
      <w:r w:rsidRPr="00C94CDA">
        <w:rPr>
          <w:b/>
          <w:bCs/>
        </w:rPr>
        <w:t>Benefits</w:t>
      </w:r>
      <w:bookmarkEnd w:id="6"/>
    </w:p>
    <w:p w14:paraId="3C8E4CFB" w14:textId="77777777" w:rsidR="00A3466F" w:rsidRDefault="00A3466F" w:rsidP="00A3466F">
      <w:r>
        <w:t>The majority of boaters receive a pension or pension credit, and smaller numbers receive a range of other types of benefits or support. A significant minority preferred not to share this information.</w:t>
      </w:r>
    </w:p>
    <w:p w14:paraId="3A2C15B9" w14:textId="522478F6" w:rsidR="00A3466F" w:rsidRDefault="00A3466F" w:rsidP="00A3466F">
      <w:pPr>
        <w:pStyle w:val="ListParagraph"/>
        <w:numPr>
          <w:ilvl w:val="0"/>
          <w:numId w:val="1"/>
        </w:numPr>
      </w:pPr>
      <w:r>
        <w:t>Pension/Pension credit 70.</w:t>
      </w:r>
      <w:r w:rsidR="00906E6B">
        <w:t>3</w:t>
      </w:r>
      <w:r>
        <w:t>% (</w:t>
      </w:r>
      <w:r w:rsidR="00906E6B">
        <w:t>1,430</w:t>
      </w:r>
      <w:r>
        <w:t xml:space="preserve">) </w:t>
      </w:r>
    </w:p>
    <w:p w14:paraId="484A1A32" w14:textId="0299B7A1" w:rsidR="00A3466F" w:rsidRDefault="00A3466F" w:rsidP="00A3466F">
      <w:pPr>
        <w:pStyle w:val="ListParagraph"/>
        <w:numPr>
          <w:ilvl w:val="0"/>
          <w:numId w:val="1"/>
        </w:numPr>
      </w:pPr>
      <w:r>
        <w:t xml:space="preserve">Prefer not to say </w:t>
      </w:r>
      <w:r w:rsidR="00906E6B">
        <w:t>15.5</w:t>
      </w:r>
      <w:r>
        <w:t>% (</w:t>
      </w:r>
      <w:r w:rsidR="00906E6B">
        <w:t>316</w:t>
      </w:r>
      <w:r>
        <w:t xml:space="preserve">) </w:t>
      </w:r>
    </w:p>
    <w:p w14:paraId="5DDBCEA6" w14:textId="34C56389" w:rsidR="00A3466F" w:rsidRDefault="00A3466F" w:rsidP="00A3466F">
      <w:pPr>
        <w:pStyle w:val="ListParagraph"/>
        <w:numPr>
          <w:ilvl w:val="0"/>
          <w:numId w:val="1"/>
        </w:numPr>
      </w:pPr>
      <w:r>
        <w:t>Personal Independence Payment (PIP) 7.</w:t>
      </w:r>
      <w:r w:rsidR="00906E6B">
        <w:t>1</w:t>
      </w:r>
      <w:r>
        <w:t>% (</w:t>
      </w:r>
      <w:r w:rsidR="00906E6B">
        <w:t>145</w:t>
      </w:r>
      <w:r>
        <w:t xml:space="preserve">) </w:t>
      </w:r>
    </w:p>
    <w:p w14:paraId="54939204" w14:textId="556FFA61" w:rsidR="00A3466F" w:rsidRDefault="00A3466F" w:rsidP="00A3466F">
      <w:pPr>
        <w:pStyle w:val="ListParagraph"/>
        <w:numPr>
          <w:ilvl w:val="0"/>
          <w:numId w:val="1"/>
        </w:numPr>
      </w:pPr>
      <w:r>
        <w:lastRenderedPageBreak/>
        <w:t>Universal Credit 5.</w:t>
      </w:r>
      <w:r w:rsidR="00906E6B">
        <w:t>3</w:t>
      </w:r>
      <w:r>
        <w:t>% (</w:t>
      </w:r>
      <w:r w:rsidR="00906E6B">
        <w:t>108</w:t>
      </w:r>
      <w:r>
        <w:t xml:space="preserve">) </w:t>
      </w:r>
    </w:p>
    <w:p w14:paraId="3C5589E1" w14:textId="57BC09EF" w:rsidR="00A3466F" w:rsidRDefault="00A3466F" w:rsidP="00A3466F">
      <w:pPr>
        <w:pStyle w:val="ListParagraph"/>
        <w:numPr>
          <w:ilvl w:val="0"/>
          <w:numId w:val="1"/>
        </w:numPr>
      </w:pPr>
      <w:r>
        <w:t>Employment and Supp</w:t>
      </w:r>
      <w:r w:rsidR="00906E6B">
        <w:t>o</w:t>
      </w:r>
      <w:r>
        <w:t xml:space="preserve">rt Allowance </w:t>
      </w:r>
      <w:r w:rsidR="00906E6B">
        <w:t>2.7</w:t>
      </w:r>
      <w:r>
        <w:t>% (</w:t>
      </w:r>
      <w:r w:rsidR="00906E6B">
        <w:t>54</w:t>
      </w:r>
      <w:r>
        <w:t xml:space="preserve">) </w:t>
      </w:r>
    </w:p>
    <w:p w14:paraId="38976231" w14:textId="6053D2A1" w:rsidR="00A3466F" w:rsidRDefault="00A3466F" w:rsidP="00A3466F">
      <w:pPr>
        <w:pStyle w:val="ListParagraph"/>
        <w:numPr>
          <w:ilvl w:val="0"/>
          <w:numId w:val="1"/>
        </w:numPr>
      </w:pPr>
      <w:r>
        <w:t>Carers Allowance 2.8% (</w:t>
      </w:r>
      <w:r w:rsidR="00906E6B">
        <w:t>56</w:t>
      </w:r>
      <w:r>
        <w:t xml:space="preserve">) </w:t>
      </w:r>
    </w:p>
    <w:p w14:paraId="229EC965" w14:textId="5F78C5DD" w:rsidR="00A3466F" w:rsidRDefault="00A3466F" w:rsidP="00A3466F">
      <w:pPr>
        <w:pStyle w:val="ListParagraph"/>
        <w:numPr>
          <w:ilvl w:val="0"/>
          <w:numId w:val="1"/>
        </w:numPr>
      </w:pPr>
      <w:r>
        <w:t>Other similar benefits 2.</w:t>
      </w:r>
      <w:r w:rsidR="009B4707">
        <w:t>8</w:t>
      </w:r>
      <w:r>
        <w:t>% (</w:t>
      </w:r>
      <w:r w:rsidR="009B4707">
        <w:t>56</w:t>
      </w:r>
      <w:r>
        <w:t xml:space="preserve">) </w:t>
      </w:r>
    </w:p>
    <w:p w14:paraId="40A0E821" w14:textId="2C6863DF" w:rsidR="00A3466F" w:rsidRDefault="00A3466F" w:rsidP="00A3466F">
      <w:pPr>
        <w:pStyle w:val="ListParagraph"/>
        <w:numPr>
          <w:ilvl w:val="0"/>
          <w:numId w:val="1"/>
        </w:numPr>
      </w:pPr>
      <w:r>
        <w:t>Income Support or Incapacity Benefit 1.</w:t>
      </w:r>
      <w:r w:rsidR="009B4707">
        <w:t>0</w:t>
      </w:r>
      <w:r>
        <w:t>% (</w:t>
      </w:r>
      <w:r w:rsidR="009B4707">
        <w:t>20</w:t>
      </w:r>
      <w:r>
        <w:t xml:space="preserve">) </w:t>
      </w:r>
    </w:p>
    <w:p w14:paraId="77F61BEB" w14:textId="03CF1662" w:rsidR="00A3466F" w:rsidRDefault="00A3466F" w:rsidP="00A3466F">
      <w:pPr>
        <w:pStyle w:val="ListParagraph"/>
        <w:numPr>
          <w:ilvl w:val="0"/>
          <w:numId w:val="1"/>
        </w:numPr>
      </w:pPr>
      <w:r>
        <w:t>Job Seekers Allowance 0.</w:t>
      </w:r>
      <w:r w:rsidR="009B4707">
        <w:t>2</w:t>
      </w:r>
      <w:r>
        <w:t>% (</w:t>
      </w:r>
      <w:r w:rsidR="009B4707">
        <w:t>4</w:t>
      </w:r>
      <w:r>
        <w:t>)</w:t>
      </w:r>
    </w:p>
    <w:p w14:paraId="3799EFB9" w14:textId="77777777" w:rsidR="00A3466F" w:rsidRDefault="00A3466F" w:rsidP="00A3466F"/>
    <w:p w14:paraId="278E4EAC" w14:textId="77777777" w:rsidR="00A3466F" w:rsidRDefault="00A3466F" w:rsidP="00A3466F">
      <w:pPr>
        <w:rPr>
          <w:highlight w:val="green"/>
        </w:rPr>
      </w:pPr>
      <w:r>
        <w:rPr>
          <w:highlight w:val="green"/>
        </w:rPr>
        <w:br w:type="page"/>
      </w:r>
    </w:p>
    <w:p w14:paraId="196CD462" w14:textId="77777777" w:rsidR="00A3466F" w:rsidRPr="00514196" w:rsidRDefault="00A3466F" w:rsidP="00A3466F">
      <w:pPr>
        <w:pStyle w:val="Heading1"/>
      </w:pPr>
      <w:bookmarkStart w:id="7" w:name="_Toc132711575"/>
      <w:r w:rsidRPr="00514196">
        <w:lastRenderedPageBreak/>
        <w:t>About the boats</w:t>
      </w:r>
      <w:bookmarkEnd w:id="7"/>
    </w:p>
    <w:p w14:paraId="7F1C7A68" w14:textId="77777777" w:rsidR="00A3466F" w:rsidRDefault="00A3466F" w:rsidP="00A3466F">
      <w:r>
        <w:t xml:space="preserve">According to figures from the annual National Boat Count in March 2022, there were </w:t>
      </w:r>
      <w:r w:rsidRPr="00A313F9">
        <w:rPr>
          <w:b/>
          <w:bCs/>
        </w:rPr>
        <w:t>35,262 boats</w:t>
      </w:r>
      <w:r>
        <w:t xml:space="preserve"> in total on Canal &amp; River Trust waterways. </w:t>
      </w:r>
    </w:p>
    <w:p w14:paraId="0290DA93" w14:textId="77777777" w:rsidR="00A3466F" w:rsidRDefault="00A3466F" w:rsidP="00A3466F">
      <w:r>
        <w:t xml:space="preserve">The 2022 Boater Census Survey suggests that the typical boat on our waterways is a </w:t>
      </w:r>
      <w:r w:rsidRPr="006271EE">
        <w:rPr>
          <w:b/>
          <w:bCs/>
        </w:rPr>
        <w:t>steel narrowboat</w:t>
      </w:r>
      <w:r>
        <w:t xml:space="preserve"> with </w:t>
      </w:r>
      <w:r w:rsidRPr="006271EE">
        <w:rPr>
          <w:b/>
          <w:bCs/>
        </w:rPr>
        <w:t>fixed beds for 2 people</w:t>
      </w:r>
      <w:r>
        <w:t xml:space="preserve">, and </w:t>
      </w:r>
      <w:r w:rsidRPr="006271EE">
        <w:rPr>
          <w:b/>
          <w:bCs/>
        </w:rPr>
        <w:t>pull-out beds</w:t>
      </w:r>
      <w:r>
        <w:rPr>
          <w:vertAlign w:val="superscript"/>
        </w:rPr>
        <w:t>3</w:t>
      </w:r>
      <w:r w:rsidRPr="00310911">
        <w:t xml:space="preserve"> </w:t>
      </w:r>
      <w:r w:rsidRPr="006271EE">
        <w:rPr>
          <w:b/>
          <w:bCs/>
        </w:rPr>
        <w:t>for 2 more</w:t>
      </w:r>
      <w:r>
        <w:t>.</w:t>
      </w:r>
    </w:p>
    <w:p w14:paraId="0A1DF75F" w14:textId="77777777" w:rsidR="00A3466F" w:rsidRPr="00C87A13" w:rsidRDefault="00A3466F" w:rsidP="00A3466F">
      <w:pPr>
        <w:rPr>
          <w:i/>
          <w:iCs/>
        </w:rPr>
      </w:pPr>
      <w:r w:rsidRPr="00C87A13">
        <w:rPr>
          <w:i/>
          <w:iCs/>
        </w:rPr>
        <w:t xml:space="preserve">3. Pull-out beds include beds that are normally stored (e.g. under another bed) or can be converted (e.g. a dining table and chair area that can be converted into a bed). </w:t>
      </w:r>
    </w:p>
    <w:p w14:paraId="3AA7B34F" w14:textId="77777777" w:rsidR="00A3466F" w:rsidRPr="00C87A13" w:rsidRDefault="00A3466F" w:rsidP="00A3466F">
      <w:pPr>
        <w:rPr>
          <w:b/>
          <w:bCs/>
        </w:rPr>
      </w:pPr>
      <w:r w:rsidRPr="00C87A13">
        <w:rPr>
          <w:b/>
          <w:bCs/>
        </w:rPr>
        <w:t>What type of boat do you have?</w:t>
      </w:r>
    </w:p>
    <w:tbl>
      <w:tblPr>
        <w:tblStyle w:val="TableGrid"/>
        <w:tblW w:w="0" w:type="auto"/>
        <w:tblLook w:val="04A0" w:firstRow="1" w:lastRow="0" w:firstColumn="1" w:lastColumn="0" w:noHBand="0" w:noVBand="1"/>
      </w:tblPr>
      <w:tblGrid>
        <w:gridCol w:w="4508"/>
        <w:gridCol w:w="4508"/>
      </w:tblGrid>
      <w:tr w:rsidR="00A3466F" w:rsidRPr="00730A50" w14:paraId="624E1C4B" w14:textId="77777777" w:rsidTr="005C089F">
        <w:tc>
          <w:tcPr>
            <w:tcW w:w="4508" w:type="dxa"/>
          </w:tcPr>
          <w:p w14:paraId="4E96A638" w14:textId="77777777" w:rsidR="00A3466F" w:rsidRPr="00730A50" w:rsidRDefault="00A3466F" w:rsidP="005C089F">
            <w:r w:rsidRPr="00730A50">
              <w:t>A narrow boat</w:t>
            </w:r>
          </w:p>
        </w:tc>
        <w:tc>
          <w:tcPr>
            <w:tcW w:w="4508" w:type="dxa"/>
          </w:tcPr>
          <w:p w14:paraId="04739CAC" w14:textId="4C7C8CE2" w:rsidR="00A3466F" w:rsidRPr="00730A50" w:rsidRDefault="00A3466F" w:rsidP="005C089F">
            <w:r w:rsidRPr="00730A50">
              <w:t>80.</w:t>
            </w:r>
            <w:r w:rsidR="00A12A03">
              <w:t>1</w:t>
            </w:r>
            <w:r w:rsidRPr="00730A50">
              <w:t>% (</w:t>
            </w:r>
            <w:r w:rsidR="00A12A03">
              <w:t>7,626</w:t>
            </w:r>
            <w:r w:rsidRPr="00730A50">
              <w:t>)</w:t>
            </w:r>
          </w:p>
        </w:tc>
      </w:tr>
      <w:tr w:rsidR="00A3466F" w:rsidRPr="00730A50" w14:paraId="77A9BF3F" w14:textId="77777777" w:rsidTr="005C089F">
        <w:tc>
          <w:tcPr>
            <w:tcW w:w="4508" w:type="dxa"/>
          </w:tcPr>
          <w:p w14:paraId="69A050B8" w14:textId="77777777" w:rsidR="00A3466F" w:rsidRPr="00730A50" w:rsidRDefault="00A3466F" w:rsidP="005C089F">
            <w:r w:rsidRPr="00730A50">
              <w:t>A cabin cruiser</w:t>
            </w:r>
          </w:p>
        </w:tc>
        <w:tc>
          <w:tcPr>
            <w:tcW w:w="4508" w:type="dxa"/>
          </w:tcPr>
          <w:p w14:paraId="46459D20" w14:textId="72C15EF9" w:rsidR="00A3466F" w:rsidRPr="00730A50" w:rsidRDefault="00A12A03" w:rsidP="005C089F">
            <w:r>
              <w:t>11.0</w:t>
            </w:r>
            <w:r w:rsidR="00A3466F">
              <w:t>% (1,</w:t>
            </w:r>
            <w:r>
              <w:t>044</w:t>
            </w:r>
            <w:r w:rsidR="00A3466F">
              <w:t>)</w:t>
            </w:r>
          </w:p>
        </w:tc>
      </w:tr>
      <w:tr w:rsidR="00A3466F" w:rsidRPr="00730A50" w14:paraId="7FAB8915" w14:textId="77777777" w:rsidTr="005C089F">
        <w:tc>
          <w:tcPr>
            <w:tcW w:w="4508" w:type="dxa"/>
          </w:tcPr>
          <w:p w14:paraId="461ABFEF" w14:textId="77777777" w:rsidR="00A3466F" w:rsidRPr="00730A50" w:rsidRDefault="00A3466F" w:rsidP="005C089F">
            <w:r w:rsidRPr="00730A50">
              <w:t>A widebeam boat</w:t>
            </w:r>
          </w:p>
        </w:tc>
        <w:tc>
          <w:tcPr>
            <w:tcW w:w="4508" w:type="dxa"/>
          </w:tcPr>
          <w:p w14:paraId="0B420AF8" w14:textId="7DB59C64" w:rsidR="00A3466F" w:rsidRPr="00730A50" w:rsidRDefault="00A3466F" w:rsidP="005C089F">
            <w:r>
              <w:t>6.6% (</w:t>
            </w:r>
            <w:r w:rsidR="00A12A03">
              <w:t>628</w:t>
            </w:r>
            <w:r>
              <w:t>)</w:t>
            </w:r>
          </w:p>
        </w:tc>
      </w:tr>
      <w:tr w:rsidR="00A3466F" w:rsidRPr="00730A50" w14:paraId="70657325" w14:textId="77777777" w:rsidTr="005C089F">
        <w:tc>
          <w:tcPr>
            <w:tcW w:w="4508" w:type="dxa"/>
          </w:tcPr>
          <w:p w14:paraId="72B6E549" w14:textId="77777777" w:rsidR="00A3466F" w:rsidRPr="00730A50" w:rsidRDefault="00A3466F" w:rsidP="005C089F">
            <w:r w:rsidRPr="00730A50">
              <w:t>Other</w:t>
            </w:r>
          </w:p>
        </w:tc>
        <w:tc>
          <w:tcPr>
            <w:tcW w:w="4508" w:type="dxa"/>
          </w:tcPr>
          <w:p w14:paraId="6D8708B1" w14:textId="47CFA018" w:rsidR="00A3466F" w:rsidRPr="00730A50" w:rsidRDefault="00A3466F" w:rsidP="005C089F">
            <w:r>
              <w:t>2.</w:t>
            </w:r>
            <w:r w:rsidR="00A12A03">
              <w:t>4</w:t>
            </w:r>
            <w:r>
              <w:t>% (2</w:t>
            </w:r>
            <w:r w:rsidR="00A12A03">
              <w:t>28</w:t>
            </w:r>
            <w:r>
              <w:t>)</w:t>
            </w:r>
          </w:p>
        </w:tc>
      </w:tr>
    </w:tbl>
    <w:p w14:paraId="7EFF5497" w14:textId="77777777" w:rsidR="00A3466F" w:rsidRDefault="00A3466F" w:rsidP="00A3466F"/>
    <w:p w14:paraId="245D1254" w14:textId="221EDBFB" w:rsidR="00A3466F" w:rsidRDefault="00A3466F" w:rsidP="00A3466F">
      <w:r>
        <w:t>Boats in the “other” category include small, powered boats, such as day boats and cruisers without cabin accommodation (</w:t>
      </w:r>
      <w:r w:rsidR="00A12A03">
        <w:t>21.5</w:t>
      </w:r>
      <w:r>
        <w:t xml:space="preserve">%, </w:t>
      </w:r>
      <w:r w:rsidR="00A12A03">
        <w:t>49</w:t>
      </w:r>
      <w:r>
        <w:t xml:space="preserve"> boats), wide beam boats such as Dutch barges (</w:t>
      </w:r>
      <w:r w:rsidR="00A12A03">
        <w:t>18.4</w:t>
      </w:r>
      <w:r>
        <w:t xml:space="preserve">%, </w:t>
      </w:r>
      <w:r w:rsidR="00A12A03">
        <w:t>42</w:t>
      </w:r>
      <w:r>
        <w:t xml:space="preserve"> boats) and unpowered craft such as kayaks and rowing boats (</w:t>
      </w:r>
      <w:r w:rsidR="00A12A03">
        <w:t>11.0</w:t>
      </w:r>
      <w:r>
        <w:t xml:space="preserve">%, </w:t>
      </w:r>
      <w:r w:rsidR="00A12A03">
        <w:t>25</w:t>
      </w:r>
      <w:r>
        <w:t xml:space="preserve"> boats).</w:t>
      </w:r>
    </w:p>
    <w:p w14:paraId="2194E288" w14:textId="77777777" w:rsidR="00A3466F" w:rsidRDefault="00A3466F" w:rsidP="00A3466F"/>
    <w:p w14:paraId="67C32FDB" w14:textId="77777777" w:rsidR="00A3466F" w:rsidRPr="00C87A13" w:rsidRDefault="00A3466F" w:rsidP="00A3466F">
      <w:pPr>
        <w:rPr>
          <w:b/>
          <w:bCs/>
        </w:rPr>
      </w:pPr>
      <w:r w:rsidRPr="00C87A13">
        <w:rPr>
          <w:b/>
          <w:bCs/>
        </w:rPr>
        <w:t>What material is the boat primarily made of?</w:t>
      </w:r>
    </w:p>
    <w:tbl>
      <w:tblPr>
        <w:tblStyle w:val="TableGrid"/>
        <w:tblW w:w="0" w:type="auto"/>
        <w:tblLook w:val="04A0" w:firstRow="1" w:lastRow="0" w:firstColumn="1" w:lastColumn="0" w:noHBand="0" w:noVBand="1"/>
      </w:tblPr>
      <w:tblGrid>
        <w:gridCol w:w="1696"/>
        <w:gridCol w:w="2410"/>
      </w:tblGrid>
      <w:tr w:rsidR="00A3466F" w14:paraId="40C3C8A7" w14:textId="77777777" w:rsidTr="005C089F">
        <w:tc>
          <w:tcPr>
            <w:tcW w:w="1696" w:type="dxa"/>
          </w:tcPr>
          <w:p w14:paraId="460FC418" w14:textId="77777777" w:rsidR="00A3466F" w:rsidRDefault="00A3466F" w:rsidP="005C089F">
            <w:r>
              <w:t>Steel</w:t>
            </w:r>
          </w:p>
        </w:tc>
        <w:tc>
          <w:tcPr>
            <w:tcW w:w="2410" w:type="dxa"/>
          </w:tcPr>
          <w:p w14:paraId="65E296E5" w14:textId="53051B65" w:rsidR="00A3466F" w:rsidRDefault="00A3466F" w:rsidP="005C089F">
            <w:r>
              <w:t>86.</w:t>
            </w:r>
            <w:r w:rsidR="003D2339">
              <w:t>0</w:t>
            </w:r>
            <w:r>
              <w:t>% (</w:t>
            </w:r>
            <w:r w:rsidR="003D2339">
              <w:t>8,196</w:t>
            </w:r>
            <w:r>
              <w:t>)</w:t>
            </w:r>
          </w:p>
        </w:tc>
      </w:tr>
      <w:tr w:rsidR="00A3466F" w14:paraId="1771FE54" w14:textId="77777777" w:rsidTr="005C089F">
        <w:tc>
          <w:tcPr>
            <w:tcW w:w="1696" w:type="dxa"/>
          </w:tcPr>
          <w:p w14:paraId="31F57301" w14:textId="77777777" w:rsidR="00A3466F" w:rsidRDefault="00A3466F" w:rsidP="005C089F">
            <w:r>
              <w:t>Fibre glass</w:t>
            </w:r>
          </w:p>
        </w:tc>
        <w:tc>
          <w:tcPr>
            <w:tcW w:w="2410" w:type="dxa"/>
          </w:tcPr>
          <w:p w14:paraId="3049BA04" w14:textId="083F6B6D" w:rsidR="00A3466F" w:rsidRDefault="00A3466F" w:rsidP="005C089F">
            <w:r>
              <w:t>11.</w:t>
            </w:r>
            <w:r w:rsidR="003D2339">
              <w:t>9</w:t>
            </w:r>
            <w:r>
              <w:t>% (1,</w:t>
            </w:r>
            <w:r w:rsidR="003D2339">
              <w:t>133</w:t>
            </w:r>
            <w:r>
              <w:t>)</w:t>
            </w:r>
          </w:p>
        </w:tc>
      </w:tr>
      <w:tr w:rsidR="00A3466F" w14:paraId="0DA1CB36" w14:textId="77777777" w:rsidTr="005C089F">
        <w:tc>
          <w:tcPr>
            <w:tcW w:w="1696" w:type="dxa"/>
          </w:tcPr>
          <w:p w14:paraId="0B368BF3" w14:textId="77777777" w:rsidR="00A3466F" w:rsidRDefault="00A3466F" w:rsidP="005C089F">
            <w:r>
              <w:t>Other</w:t>
            </w:r>
          </w:p>
        </w:tc>
        <w:tc>
          <w:tcPr>
            <w:tcW w:w="2410" w:type="dxa"/>
          </w:tcPr>
          <w:p w14:paraId="46A39BEE" w14:textId="35798168" w:rsidR="00A3466F" w:rsidRDefault="00A3466F" w:rsidP="005C089F">
            <w:r>
              <w:t>1.6% (1</w:t>
            </w:r>
            <w:r w:rsidR="003D2339">
              <w:t>55</w:t>
            </w:r>
            <w:r>
              <w:t>)</w:t>
            </w:r>
          </w:p>
        </w:tc>
      </w:tr>
      <w:tr w:rsidR="00A3466F" w14:paraId="67AFAE34" w14:textId="77777777" w:rsidTr="005C089F">
        <w:tc>
          <w:tcPr>
            <w:tcW w:w="1696" w:type="dxa"/>
          </w:tcPr>
          <w:p w14:paraId="12FD909D" w14:textId="77777777" w:rsidR="00A3466F" w:rsidRDefault="00A3466F" w:rsidP="005C089F">
            <w:r>
              <w:t>Wood</w:t>
            </w:r>
          </w:p>
        </w:tc>
        <w:tc>
          <w:tcPr>
            <w:tcW w:w="2410" w:type="dxa"/>
          </w:tcPr>
          <w:p w14:paraId="24A1A124" w14:textId="619B2597" w:rsidR="00A3466F" w:rsidRDefault="00A3466F" w:rsidP="005C089F">
            <w:r>
              <w:t>0.5% (</w:t>
            </w:r>
            <w:r w:rsidR="003D2339">
              <w:t>45</w:t>
            </w:r>
            <w:r>
              <w:t>)</w:t>
            </w:r>
          </w:p>
        </w:tc>
      </w:tr>
    </w:tbl>
    <w:p w14:paraId="59BAEFB5" w14:textId="77777777" w:rsidR="00A3466F" w:rsidRDefault="00A3466F" w:rsidP="00A3466F"/>
    <w:p w14:paraId="738AE564" w14:textId="77777777" w:rsidR="00A3466F" w:rsidRDefault="00A3466F" w:rsidP="00A3466F"/>
    <w:p w14:paraId="328F2A16" w14:textId="77777777" w:rsidR="00A3466F" w:rsidRPr="00C87A13" w:rsidRDefault="00A3466F" w:rsidP="00A3466F">
      <w:pPr>
        <w:rPr>
          <w:b/>
          <w:bCs/>
        </w:rPr>
      </w:pPr>
      <w:r w:rsidRPr="00C87A13">
        <w:rPr>
          <w:b/>
          <w:bCs/>
        </w:rPr>
        <w:t>How many people can sleep on the boat?</w:t>
      </w:r>
    </w:p>
    <w:tbl>
      <w:tblPr>
        <w:tblStyle w:val="TableGrid"/>
        <w:tblW w:w="0" w:type="auto"/>
        <w:tblLook w:val="04A0" w:firstRow="1" w:lastRow="0" w:firstColumn="1" w:lastColumn="0" w:noHBand="0" w:noVBand="1"/>
      </w:tblPr>
      <w:tblGrid>
        <w:gridCol w:w="1129"/>
        <w:gridCol w:w="2127"/>
        <w:gridCol w:w="1701"/>
      </w:tblGrid>
      <w:tr w:rsidR="00A3466F" w14:paraId="09EFCFF6" w14:textId="77777777" w:rsidTr="005C089F">
        <w:tc>
          <w:tcPr>
            <w:tcW w:w="1129" w:type="dxa"/>
          </w:tcPr>
          <w:p w14:paraId="394E521A" w14:textId="77777777" w:rsidR="00A3466F" w:rsidRDefault="00A3466F" w:rsidP="005C089F"/>
        </w:tc>
        <w:tc>
          <w:tcPr>
            <w:tcW w:w="2127" w:type="dxa"/>
          </w:tcPr>
          <w:p w14:paraId="0CB08D8F" w14:textId="77777777" w:rsidR="00A3466F" w:rsidRPr="00117911" w:rsidRDefault="00A3466F" w:rsidP="005C089F">
            <w:pPr>
              <w:rPr>
                <w:b/>
                <w:bCs/>
              </w:rPr>
            </w:pPr>
            <w:r w:rsidRPr="00117911">
              <w:rPr>
                <w:b/>
                <w:bCs/>
              </w:rPr>
              <w:t>Fixed beds</w:t>
            </w:r>
          </w:p>
        </w:tc>
        <w:tc>
          <w:tcPr>
            <w:tcW w:w="1701" w:type="dxa"/>
          </w:tcPr>
          <w:p w14:paraId="6C335FD1" w14:textId="77777777" w:rsidR="00A3466F" w:rsidRPr="00117911" w:rsidRDefault="00A3466F" w:rsidP="005C089F">
            <w:pPr>
              <w:rPr>
                <w:b/>
                <w:bCs/>
              </w:rPr>
            </w:pPr>
            <w:r w:rsidRPr="00117911">
              <w:rPr>
                <w:b/>
                <w:bCs/>
              </w:rPr>
              <w:t>Pull-out beds</w:t>
            </w:r>
          </w:p>
        </w:tc>
      </w:tr>
      <w:tr w:rsidR="00A3466F" w14:paraId="45C02996" w14:textId="77777777" w:rsidTr="005C089F">
        <w:tc>
          <w:tcPr>
            <w:tcW w:w="1129" w:type="dxa"/>
          </w:tcPr>
          <w:p w14:paraId="5009CDBC" w14:textId="77777777" w:rsidR="00A3466F" w:rsidRDefault="00A3466F" w:rsidP="005C089F">
            <w:r>
              <w:t>0-1</w:t>
            </w:r>
          </w:p>
        </w:tc>
        <w:tc>
          <w:tcPr>
            <w:tcW w:w="2127" w:type="dxa"/>
          </w:tcPr>
          <w:p w14:paraId="23267612" w14:textId="6F0E2042" w:rsidR="00A3466F" w:rsidRDefault="00A3466F" w:rsidP="005C089F">
            <w:r>
              <w:t>10.</w:t>
            </w:r>
            <w:r w:rsidR="003D2339">
              <w:t>2</w:t>
            </w:r>
            <w:r>
              <w:t>% (</w:t>
            </w:r>
            <w:r w:rsidR="003D2339">
              <w:t>971</w:t>
            </w:r>
            <w:r>
              <w:t>)</w:t>
            </w:r>
          </w:p>
        </w:tc>
        <w:tc>
          <w:tcPr>
            <w:tcW w:w="1701" w:type="dxa"/>
          </w:tcPr>
          <w:p w14:paraId="158C630A" w14:textId="1802BB4D" w:rsidR="00A3466F" w:rsidRDefault="00A3466F" w:rsidP="005C089F">
            <w:r>
              <w:t>24.9% (2,</w:t>
            </w:r>
            <w:r w:rsidR="003D2339">
              <w:t>374</w:t>
            </w:r>
            <w:r>
              <w:t>)</w:t>
            </w:r>
          </w:p>
        </w:tc>
      </w:tr>
      <w:tr w:rsidR="00A3466F" w14:paraId="2647CFCB" w14:textId="77777777" w:rsidTr="005C089F">
        <w:tc>
          <w:tcPr>
            <w:tcW w:w="1129" w:type="dxa"/>
          </w:tcPr>
          <w:p w14:paraId="780826BF" w14:textId="77777777" w:rsidR="00A3466F" w:rsidRDefault="00A3466F" w:rsidP="005C089F">
            <w:r>
              <w:t>2-3</w:t>
            </w:r>
          </w:p>
        </w:tc>
        <w:tc>
          <w:tcPr>
            <w:tcW w:w="2127" w:type="dxa"/>
          </w:tcPr>
          <w:p w14:paraId="6BC3639F" w14:textId="775CA158" w:rsidR="00A3466F" w:rsidRDefault="00A3466F" w:rsidP="005C089F">
            <w:r>
              <w:t>68.5% (</w:t>
            </w:r>
            <w:r w:rsidR="003D2339">
              <w:t>6,522</w:t>
            </w:r>
            <w:r>
              <w:t>)</w:t>
            </w:r>
          </w:p>
        </w:tc>
        <w:tc>
          <w:tcPr>
            <w:tcW w:w="1701" w:type="dxa"/>
          </w:tcPr>
          <w:p w14:paraId="41D1BCE1" w14:textId="25D93F1C" w:rsidR="00A3466F" w:rsidRDefault="00A3466F" w:rsidP="005C089F">
            <w:r>
              <w:t>51.8% (</w:t>
            </w:r>
            <w:r w:rsidR="003D2339">
              <w:t>4,928</w:t>
            </w:r>
            <w:r>
              <w:t>)</w:t>
            </w:r>
          </w:p>
        </w:tc>
      </w:tr>
      <w:tr w:rsidR="00A3466F" w14:paraId="640BF4A1" w14:textId="77777777" w:rsidTr="005C089F">
        <w:tc>
          <w:tcPr>
            <w:tcW w:w="1129" w:type="dxa"/>
          </w:tcPr>
          <w:p w14:paraId="2BFB603C" w14:textId="77777777" w:rsidR="00A3466F" w:rsidRDefault="00A3466F" w:rsidP="005C089F">
            <w:r>
              <w:t>4-5</w:t>
            </w:r>
          </w:p>
        </w:tc>
        <w:tc>
          <w:tcPr>
            <w:tcW w:w="2127" w:type="dxa"/>
          </w:tcPr>
          <w:p w14:paraId="65A7AE31" w14:textId="51ECE203" w:rsidR="00A3466F" w:rsidRDefault="00A3466F" w:rsidP="005C089F">
            <w:r>
              <w:t>18.</w:t>
            </w:r>
            <w:r w:rsidR="003D2339">
              <w:t>3</w:t>
            </w:r>
            <w:r>
              <w:t>% (</w:t>
            </w:r>
            <w:r w:rsidR="003D2339">
              <w:t>1,740</w:t>
            </w:r>
            <w:r>
              <w:t>)</w:t>
            </w:r>
          </w:p>
        </w:tc>
        <w:tc>
          <w:tcPr>
            <w:tcW w:w="1701" w:type="dxa"/>
          </w:tcPr>
          <w:p w14:paraId="6CD28A2E" w14:textId="11C23068" w:rsidR="00A3466F" w:rsidRDefault="00A3466F" w:rsidP="005C089F">
            <w:r>
              <w:t>19.8% (</w:t>
            </w:r>
            <w:r w:rsidR="003D2339">
              <w:t>1,881</w:t>
            </w:r>
            <w:r>
              <w:t>)</w:t>
            </w:r>
          </w:p>
        </w:tc>
      </w:tr>
      <w:tr w:rsidR="00A3466F" w14:paraId="192D23E8" w14:textId="77777777" w:rsidTr="005C089F">
        <w:tc>
          <w:tcPr>
            <w:tcW w:w="1129" w:type="dxa"/>
          </w:tcPr>
          <w:p w14:paraId="39B4B050" w14:textId="77777777" w:rsidR="00A3466F" w:rsidRDefault="00A3466F" w:rsidP="005C089F">
            <w:r>
              <w:t>6 or more</w:t>
            </w:r>
          </w:p>
        </w:tc>
        <w:tc>
          <w:tcPr>
            <w:tcW w:w="2127" w:type="dxa"/>
          </w:tcPr>
          <w:p w14:paraId="63DCAF26" w14:textId="7D85DBEA" w:rsidR="00A3466F" w:rsidRDefault="003D2339" w:rsidP="005C089F">
            <w:r>
              <w:t>0.3</w:t>
            </w:r>
            <w:r w:rsidR="00A3466F">
              <w:t>% (</w:t>
            </w:r>
            <w:r>
              <w:t>288</w:t>
            </w:r>
            <w:r w:rsidR="00A3466F">
              <w:t>)</w:t>
            </w:r>
          </w:p>
        </w:tc>
        <w:tc>
          <w:tcPr>
            <w:tcW w:w="1701" w:type="dxa"/>
          </w:tcPr>
          <w:p w14:paraId="24382697" w14:textId="78CC79EA" w:rsidR="00A3466F" w:rsidRDefault="00A3466F" w:rsidP="005C089F">
            <w:r>
              <w:t>3.5% (</w:t>
            </w:r>
            <w:r w:rsidR="003D2339">
              <w:t>337</w:t>
            </w:r>
            <w:r>
              <w:t>)</w:t>
            </w:r>
          </w:p>
        </w:tc>
      </w:tr>
    </w:tbl>
    <w:p w14:paraId="73C745D5" w14:textId="77777777" w:rsidR="00A3466F" w:rsidRDefault="00A3466F" w:rsidP="00A3466F"/>
    <w:p w14:paraId="3ECEF251" w14:textId="77777777" w:rsidR="00A3466F" w:rsidRDefault="00A3466F" w:rsidP="00A3466F"/>
    <w:p w14:paraId="2432E3AC" w14:textId="77777777" w:rsidR="00A3466F" w:rsidRPr="00C87A13" w:rsidRDefault="00A3466F" w:rsidP="00A3466F">
      <w:r>
        <w:t>The survey asked what</w:t>
      </w:r>
      <w:r w:rsidRPr="0066077F">
        <w:t xml:space="preserve"> facilities and equipment </w:t>
      </w:r>
      <w:r>
        <w:t>people have on their</w:t>
      </w:r>
      <w:r w:rsidRPr="0066077F">
        <w:t xml:space="preserve"> boat</w:t>
      </w:r>
      <w:r>
        <w:t>s, and what they are thinking of installing.</w:t>
      </w:r>
    </w:p>
    <w:p w14:paraId="4F54F395" w14:textId="77777777" w:rsidR="00A3466F" w:rsidRPr="000808C5" w:rsidRDefault="00A3466F" w:rsidP="00A3466F">
      <w:pPr>
        <w:rPr>
          <w:b/>
          <w:bCs/>
        </w:rPr>
      </w:pPr>
      <w:r w:rsidRPr="000808C5">
        <w:rPr>
          <w:b/>
          <w:bCs/>
        </w:rPr>
        <w:t xml:space="preserve">Fuel </w:t>
      </w:r>
    </w:p>
    <w:tbl>
      <w:tblPr>
        <w:tblStyle w:val="TableGrid"/>
        <w:tblW w:w="0" w:type="auto"/>
        <w:tblLook w:val="04A0" w:firstRow="1" w:lastRow="0" w:firstColumn="1" w:lastColumn="0" w:noHBand="0" w:noVBand="1"/>
      </w:tblPr>
      <w:tblGrid>
        <w:gridCol w:w="2689"/>
        <w:gridCol w:w="2126"/>
      </w:tblGrid>
      <w:tr w:rsidR="00A3466F" w14:paraId="55471780" w14:textId="77777777" w:rsidTr="005C089F">
        <w:tc>
          <w:tcPr>
            <w:tcW w:w="2689" w:type="dxa"/>
          </w:tcPr>
          <w:p w14:paraId="09117A84" w14:textId="77777777" w:rsidR="00A3466F" w:rsidRDefault="00A3466F" w:rsidP="005C089F">
            <w:r>
              <w:t>Gas for cooking</w:t>
            </w:r>
          </w:p>
        </w:tc>
        <w:tc>
          <w:tcPr>
            <w:tcW w:w="2126" w:type="dxa"/>
          </w:tcPr>
          <w:p w14:paraId="7E95D631" w14:textId="7FDA4D2A" w:rsidR="00A3466F" w:rsidRDefault="00A3466F" w:rsidP="005C089F">
            <w:r>
              <w:t>89.</w:t>
            </w:r>
            <w:r w:rsidR="003D2339">
              <w:t>5</w:t>
            </w:r>
            <w:r>
              <w:t>%</w:t>
            </w:r>
            <w:r w:rsidR="003D2339">
              <w:t xml:space="preserve"> (8,522)</w:t>
            </w:r>
          </w:p>
        </w:tc>
      </w:tr>
      <w:tr w:rsidR="00A3466F" w14:paraId="68D11F90" w14:textId="77777777" w:rsidTr="005C089F">
        <w:tc>
          <w:tcPr>
            <w:tcW w:w="2689" w:type="dxa"/>
          </w:tcPr>
          <w:p w14:paraId="235D7387" w14:textId="77777777" w:rsidR="00A3466F" w:rsidRDefault="00A3466F" w:rsidP="005C089F">
            <w:r>
              <w:t>Solid fuel stove</w:t>
            </w:r>
          </w:p>
        </w:tc>
        <w:tc>
          <w:tcPr>
            <w:tcW w:w="2126" w:type="dxa"/>
          </w:tcPr>
          <w:p w14:paraId="5325B658" w14:textId="4CD89C05" w:rsidR="00A3466F" w:rsidRDefault="00A3466F" w:rsidP="005C089F">
            <w:r>
              <w:t>66.</w:t>
            </w:r>
            <w:r w:rsidR="003D2339">
              <w:t>6</w:t>
            </w:r>
            <w:r>
              <w:t>%</w:t>
            </w:r>
            <w:r w:rsidR="003D2339">
              <w:t xml:space="preserve"> (6,338)</w:t>
            </w:r>
          </w:p>
        </w:tc>
      </w:tr>
      <w:tr w:rsidR="00A3466F" w14:paraId="622F4456" w14:textId="77777777" w:rsidTr="005C089F">
        <w:tc>
          <w:tcPr>
            <w:tcW w:w="2689" w:type="dxa"/>
          </w:tcPr>
          <w:p w14:paraId="39B4D019" w14:textId="77777777" w:rsidR="00A3466F" w:rsidRDefault="00A3466F" w:rsidP="005C089F">
            <w:r>
              <w:t>Solar panels</w:t>
            </w:r>
          </w:p>
        </w:tc>
        <w:tc>
          <w:tcPr>
            <w:tcW w:w="2126" w:type="dxa"/>
          </w:tcPr>
          <w:p w14:paraId="68A0216D" w14:textId="3A65501A" w:rsidR="00A3466F" w:rsidRDefault="00A3466F" w:rsidP="005C089F">
            <w:r>
              <w:t>59.</w:t>
            </w:r>
            <w:r w:rsidR="003D2339">
              <w:t>0</w:t>
            </w:r>
            <w:r>
              <w:t>%</w:t>
            </w:r>
            <w:r w:rsidR="003D2339">
              <w:t xml:space="preserve"> (5,612)</w:t>
            </w:r>
          </w:p>
        </w:tc>
      </w:tr>
      <w:tr w:rsidR="00A3466F" w14:paraId="18388A79" w14:textId="77777777" w:rsidTr="005C089F">
        <w:tc>
          <w:tcPr>
            <w:tcW w:w="2689" w:type="dxa"/>
          </w:tcPr>
          <w:p w14:paraId="4A5D8D1B" w14:textId="77777777" w:rsidR="00A3466F" w:rsidRDefault="00A3466F" w:rsidP="005C089F">
            <w:r>
              <w:t>Diesel heating</w:t>
            </w:r>
          </w:p>
        </w:tc>
        <w:tc>
          <w:tcPr>
            <w:tcW w:w="2126" w:type="dxa"/>
          </w:tcPr>
          <w:p w14:paraId="01FB13F0" w14:textId="3601977D" w:rsidR="00A3466F" w:rsidRDefault="00A3466F" w:rsidP="005C089F">
            <w:r>
              <w:t>5</w:t>
            </w:r>
            <w:r w:rsidR="003D2339">
              <w:t>3.3</w:t>
            </w:r>
            <w:r>
              <w:t>%</w:t>
            </w:r>
            <w:r w:rsidR="003D2339">
              <w:t xml:space="preserve"> (5,070)</w:t>
            </w:r>
          </w:p>
        </w:tc>
      </w:tr>
      <w:tr w:rsidR="00A3466F" w14:paraId="4F0748C0" w14:textId="77777777" w:rsidTr="005C089F">
        <w:tc>
          <w:tcPr>
            <w:tcW w:w="2689" w:type="dxa"/>
          </w:tcPr>
          <w:p w14:paraId="4C2504D9" w14:textId="77777777" w:rsidR="00A3466F" w:rsidRDefault="00A3466F" w:rsidP="005C089F">
            <w:r>
              <w:lastRenderedPageBreak/>
              <w:t>Gas boiler for heating</w:t>
            </w:r>
          </w:p>
        </w:tc>
        <w:tc>
          <w:tcPr>
            <w:tcW w:w="2126" w:type="dxa"/>
          </w:tcPr>
          <w:p w14:paraId="4337CEDA" w14:textId="22540728" w:rsidR="00A3466F" w:rsidRDefault="00A3466F" w:rsidP="005C089F">
            <w:r>
              <w:t>17.</w:t>
            </w:r>
            <w:r w:rsidR="003D2339">
              <w:t>3</w:t>
            </w:r>
            <w:r>
              <w:t>%</w:t>
            </w:r>
            <w:r w:rsidR="003D2339">
              <w:t xml:space="preserve"> (1,648)</w:t>
            </w:r>
          </w:p>
        </w:tc>
      </w:tr>
      <w:tr w:rsidR="00A3466F" w14:paraId="056AF650" w14:textId="77777777" w:rsidTr="005C089F">
        <w:tc>
          <w:tcPr>
            <w:tcW w:w="2689" w:type="dxa"/>
          </w:tcPr>
          <w:p w14:paraId="0748FA04" w14:textId="77777777" w:rsidR="00A3466F" w:rsidRDefault="00A3466F" w:rsidP="005C089F">
            <w:r>
              <w:t>Electric heating</w:t>
            </w:r>
          </w:p>
        </w:tc>
        <w:tc>
          <w:tcPr>
            <w:tcW w:w="2126" w:type="dxa"/>
          </w:tcPr>
          <w:p w14:paraId="15AC133E" w14:textId="75ECC4B9" w:rsidR="00A3466F" w:rsidRDefault="00A3466F" w:rsidP="005C089F">
            <w:r>
              <w:t>9.</w:t>
            </w:r>
            <w:r w:rsidR="003D2339">
              <w:t>3</w:t>
            </w:r>
            <w:r>
              <w:t>%</w:t>
            </w:r>
            <w:r w:rsidR="003D2339">
              <w:t xml:space="preserve"> (885)</w:t>
            </w:r>
          </w:p>
        </w:tc>
      </w:tr>
      <w:tr w:rsidR="00A3466F" w14:paraId="2D081371" w14:textId="77777777" w:rsidTr="005C089F">
        <w:tc>
          <w:tcPr>
            <w:tcW w:w="2689" w:type="dxa"/>
          </w:tcPr>
          <w:p w14:paraId="737804CB" w14:textId="77777777" w:rsidR="00A3466F" w:rsidRDefault="00A3466F" w:rsidP="005C089F">
            <w:r>
              <w:t>Diesel stove</w:t>
            </w:r>
          </w:p>
        </w:tc>
        <w:tc>
          <w:tcPr>
            <w:tcW w:w="2126" w:type="dxa"/>
          </w:tcPr>
          <w:p w14:paraId="5E5CE69E" w14:textId="307512F6" w:rsidR="00A3466F" w:rsidRDefault="00A3466F" w:rsidP="005C089F">
            <w:r>
              <w:t>8.9%</w:t>
            </w:r>
            <w:r w:rsidR="003D2339">
              <w:t xml:space="preserve"> (849)</w:t>
            </w:r>
          </w:p>
        </w:tc>
      </w:tr>
      <w:tr w:rsidR="003D2339" w14:paraId="36CB9F02" w14:textId="77777777" w:rsidTr="005C089F">
        <w:tc>
          <w:tcPr>
            <w:tcW w:w="2689" w:type="dxa"/>
          </w:tcPr>
          <w:p w14:paraId="5E9DB4AB" w14:textId="21117775" w:rsidR="003D2339" w:rsidRDefault="003D2339" w:rsidP="003D2339">
            <w:r>
              <w:t>Diesel/petrol generator</w:t>
            </w:r>
          </w:p>
        </w:tc>
        <w:tc>
          <w:tcPr>
            <w:tcW w:w="2126" w:type="dxa"/>
          </w:tcPr>
          <w:p w14:paraId="6328FF00" w14:textId="36207BED" w:rsidR="003D2339" w:rsidRDefault="003D2339" w:rsidP="003D2339">
            <w:r>
              <w:t>8.7% (825)</w:t>
            </w:r>
          </w:p>
        </w:tc>
      </w:tr>
      <w:tr w:rsidR="00A3466F" w14:paraId="160CC8EE" w14:textId="77777777" w:rsidTr="005C089F">
        <w:tc>
          <w:tcPr>
            <w:tcW w:w="2689" w:type="dxa"/>
          </w:tcPr>
          <w:p w14:paraId="29DE99F0" w14:textId="77777777" w:rsidR="00A3466F" w:rsidRDefault="00A3466F" w:rsidP="005C089F">
            <w:r>
              <w:t>Solid fuel cooking</w:t>
            </w:r>
          </w:p>
        </w:tc>
        <w:tc>
          <w:tcPr>
            <w:tcW w:w="2126" w:type="dxa"/>
          </w:tcPr>
          <w:p w14:paraId="5BC45564" w14:textId="2229C2E3" w:rsidR="00A3466F" w:rsidRDefault="00A3466F" w:rsidP="005C089F">
            <w:r>
              <w:t>2.5%</w:t>
            </w:r>
            <w:r w:rsidR="003D2339">
              <w:t xml:space="preserve"> (237)</w:t>
            </w:r>
          </w:p>
        </w:tc>
      </w:tr>
    </w:tbl>
    <w:p w14:paraId="0384FFA6" w14:textId="77777777" w:rsidR="00A3466F" w:rsidRDefault="00A3466F" w:rsidP="00A3466F"/>
    <w:p w14:paraId="205024BA" w14:textId="77777777" w:rsidR="00A3466F" w:rsidRPr="000808C5" w:rsidRDefault="00A3466F" w:rsidP="00A3466F">
      <w:pPr>
        <w:rPr>
          <w:b/>
          <w:bCs/>
        </w:rPr>
      </w:pPr>
      <w:r w:rsidRPr="0066077F">
        <w:rPr>
          <w:b/>
          <w:bCs/>
        </w:rPr>
        <w:t xml:space="preserve">Toilets </w:t>
      </w:r>
    </w:p>
    <w:tbl>
      <w:tblPr>
        <w:tblStyle w:val="TableGrid"/>
        <w:tblW w:w="9493" w:type="dxa"/>
        <w:tblLook w:val="04A0" w:firstRow="1" w:lastRow="0" w:firstColumn="1" w:lastColumn="0" w:noHBand="0" w:noVBand="1"/>
      </w:tblPr>
      <w:tblGrid>
        <w:gridCol w:w="1946"/>
        <w:gridCol w:w="851"/>
        <w:gridCol w:w="6696"/>
      </w:tblGrid>
      <w:tr w:rsidR="00A3466F" w14:paraId="0770C00E" w14:textId="77777777" w:rsidTr="005C089F">
        <w:tc>
          <w:tcPr>
            <w:tcW w:w="1954" w:type="dxa"/>
          </w:tcPr>
          <w:p w14:paraId="3D9DA77F" w14:textId="77777777" w:rsidR="00A3466F" w:rsidRDefault="00A3466F" w:rsidP="005C089F">
            <w:r>
              <w:t>Cassette toilet</w:t>
            </w:r>
          </w:p>
        </w:tc>
        <w:tc>
          <w:tcPr>
            <w:tcW w:w="764" w:type="dxa"/>
          </w:tcPr>
          <w:p w14:paraId="642F8841" w14:textId="006968C4" w:rsidR="00A3466F" w:rsidRDefault="00A3466F" w:rsidP="005C089F">
            <w:r>
              <w:t>57.</w:t>
            </w:r>
            <w:r w:rsidR="00C1656D">
              <w:t>2</w:t>
            </w:r>
            <w:r>
              <w:t>% (</w:t>
            </w:r>
            <w:r w:rsidR="00C1656D">
              <w:t>5,448</w:t>
            </w:r>
            <w:r>
              <w:t>)</w:t>
            </w:r>
          </w:p>
        </w:tc>
        <w:tc>
          <w:tcPr>
            <w:tcW w:w="6775" w:type="dxa"/>
          </w:tcPr>
          <w:p w14:paraId="0E8B0CA5" w14:textId="77777777" w:rsidR="00A3466F" w:rsidRDefault="00A3466F" w:rsidP="005C089F">
            <w:r>
              <w:t>Cassette toilets store the waste in small, removable tanks which can be disconnected and emptied into a designated Elsan point.</w:t>
            </w:r>
          </w:p>
        </w:tc>
      </w:tr>
      <w:tr w:rsidR="00A3466F" w14:paraId="42C9A301" w14:textId="77777777" w:rsidTr="005C089F">
        <w:tc>
          <w:tcPr>
            <w:tcW w:w="1954" w:type="dxa"/>
          </w:tcPr>
          <w:p w14:paraId="0B848FB6" w14:textId="77777777" w:rsidR="00A3466F" w:rsidRDefault="00A3466F" w:rsidP="005C089F">
            <w:r>
              <w:t>Pump-out toilet</w:t>
            </w:r>
          </w:p>
        </w:tc>
        <w:tc>
          <w:tcPr>
            <w:tcW w:w="764" w:type="dxa"/>
          </w:tcPr>
          <w:p w14:paraId="7789FC8D" w14:textId="0AC1966F" w:rsidR="00A3466F" w:rsidRDefault="00C1656D" w:rsidP="005C089F">
            <w:r>
              <w:t>34.2</w:t>
            </w:r>
            <w:r w:rsidR="00A3466F">
              <w:t>% (3</w:t>
            </w:r>
            <w:r>
              <w:t>,242</w:t>
            </w:r>
            <w:r w:rsidR="00A3466F">
              <w:t>)</w:t>
            </w:r>
          </w:p>
        </w:tc>
        <w:tc>
          <w:tcPr>
            <w:tcW w:w="6775" w:type="dxa"/>
          </w:tcPr>
          <w:p w14:paraId="03AA9959" w14:textId="77777777" w:rsidR="00A3466F" w:rsidRDefault="00A3466F" w:rsidP="005C089F">
            <w:r>
              <w:t>Pump-out toilets collect the waste in a built-in tank on the boat. They can be emptied at pump-out points, by connecting a hose and pump to the waste tank.</w:t>
            </w:r>
          </w:p>
        </w:tc>
      </w:tr>
      <w:tr w:rsidR="00A3466F" w14:paraId="62635B5B" w14:textId="77777777" w:rsidTr="005C089F">
        <w:tc>
          <w:tcPr>
            <w:tcW w:w="1954" w:type="dxa"/>
          </w:tcPr>
          <w:p w14:paraId="4C7F35A1" w14:textId="77777777" w:rsidR="00A3466F" w:rsidRDefault="00A3466F" w:rsidP="005C089F">
            <w:r>
              <w:t>Separator (composting) toilet</w:t>
            </w:r>
          </w:p>
        </w:tc>
        <w:tc>
          <w:tcPr>
            <w:tcW w:w="764" w:type="dxa"/>
          </w:tcPr>
          <w:p w14:paraId="47393A47" w14:textId="5714D538" w:rsidR="00A3466F" w:rsidRDefault="00A3466F" w:rsidP="005C089F">
            <w:r>
              <w:t>8.8% (</w:t>
            </w:r>
            <w:r w:rsidR="00C1656D">
              <w:t>840</w:t>
            </w:r>
            <w:r>
              <w:t>)</w:t>
            </w:r>
          </w:p>
        </w:tc>
        <w:tc>
          <w:tcPr>
            <w:tcW w:w="6775" w:type="dxa"/>
          </w:tcPr>
          <w:p w14:paraId="797D98FF" w14:textId="77777777" w:rsidR="00A3466F" w:rsidRDefault="00A3466F" w:rsidP="005C089F">
            <w:r>
              <w:t>Separator toilets keep liquid and solid waste separate. Dry, solid waste can be composted and used as a soil enricher. However, the Canal &amp; River Trust does not currently have composting facilities for separator toilets.</w:t>
            </w:r>
          </w:p>
        </w:tc>
      </w:tr>
    </w:tbl>
    <w:p w14:paraId="18B4A17B" w14:textId="77777777" w:rsidR="00A3466F" w:rsidRDefault="00A3466F" w:rsidP="00A3466F"/>
    <w:p w14:paraId="64A3A2FB" w14:textId="77777777" w:rsidR="00A3466F" w:rsidRPr="002B1CCC" w:rsidRDefault="00A3466F" w:rsidP="00A3466F">
      <w:pPr>
        <w:rPr>
          <w:b/>
          <w:bCs/>
        </w:rPr>
      </w:pPr>
      <w:r w:rsidRPr="002B1CCC">
        <w:rPr>
          <w:b/>
          <w:bCs/>
        </w:rPr>
        <w:t>What are you planning to install in the future?</w:t>
      </w:r>
    </w:p>
    <w:tbl>
      <w:tblPr>
        <w:tblStyle w:val="TableGrid"/>
        <w:tblW w:w="0" w:type="auto"/>
        <w:tblLook w:val="04A0" w:firstRow="1" w:lastRow="0" w:firstColumn="1" w:lastColumn="0" w:noHBand="0" w:noVBand="1"/>
      </w:tblPr>
      <w:tblGrid>
        <w:gridCol w:w="2972"/>
        <w:gridCol w:w="1701"/>
      </w:tblGrid>
      <w:tr w:rsidR="00A3466F" w14:paraId="64B659BD" w14:textId="77777777" w:rsidTr="005C089F">
        <w:tc>
          <w:tcPr>
            <w:tcW w:w="2972" w:type="dxa"/>
          </w:tcPr>
          <w:p w14:paraId="74B052F8" w14:textId="77777777" w:rsidR="00A3466F" w:rsidRDefault="00A3466F" w:rsidP="005C089F">
            <w:r>
              <w:t>None of these</w:t>
            </w:r>
          </w:p>
        </w:tc>
        <w:tc>
          <w:tcPr>
            <w:tcW w:w="1701" w:type="dxa"/>
          </w:tcPr>
          <w:p w14:paraId="2B6BE17E" w14:textId="7AB9A2D9" w:rsidR="00A3466F" w:rsidRDefault="00A3466F" w:rsidP="005C089F">
            <w:r>
              <w:t>76.</w:t>
            </w:r>
            <w:r w:rsidR="00C1656D">
              <w:t>5</w:t>
            </w:r>
            <w:r>
              <w:t>% (</w:t>
            </w:r>
            <w:r w:rsidR="00C1656D">
              <w:t>7,266</w:t>
            </w:r>
            <w:r>
              <w:t>)</w:t>
            </w:r>
          </w:p>
        </w:tc>
      </w:tr>
      <w:tr w:rsidR="00A3466F" w14:paraId="528E2B20" w14:textId="77777777" w:rsidTr="005C089F">
        <w:tc>
          <w:tcPr>
            <w:tcW w:w="2972" w:type="dxa"/>
          </w:tcPr>
          <w:p w14:paraId="429DA5FD" w14:textId="77777777" w:rsidR="00A3466F" w:rsidRDefault="00A3466F" w:rsidP="005C089F">
            <w:r>
              <w:t>Solar panels</w:t>
            </w:r>
          </w:p>
        </w:tc>
        <w:tc>
          <w:tcPr>
            <w:tcW w:w="1701" w:type="dxa"/>
          </w:tcPr>
          <w:p w14:paraId="34F5BE31" w14:textId="32FE8BFD" w:rsidR="00A3466F" w:rsidRDefault="00A3466F" w:rsidP="005C089F">
            <w:r>
              <w:t>12.3% (1,</w:t>
            </w:r>
            <w:r w:rsidR="00C1656D">
              <w:t>173</w:t>
            </w:r>
            <w:r>
              <w:t>)</w:t>
            </w:r>
          </w:p>
        </w:tc>
      </w:tr>
      <w:tr w:rsidR="00A3466F" w14:paraId="73D01FF0" w14:textId="77777777" w:rsidTr="005C089F">
        <w:tc>
          <w:tcPr>
            <w:tcW w:w="2972" w:type="dxa"/>
          </w:tcPr>
          <w:p w14:paraId="331955D9" w14:textId="77777777" w:rsidR="00A3466F" w:rsidRDefault="00A3466F" w:rsidP="005C089F">
            <w:r>
              <w:t>Diesel heating</w:t>
            </w:r>
          </w:p>
        </w:tc>
        <w:tc>
          <w:tcPr>
            <w:tcW w:w="1701" w:type="dxa"/>
          </w:tcPr>
          <w:p w14:paraId="6DFF3CE5" w14:textId="357FDFD7" w:rsidR="00A3466F" w:rsidRDefault="00A3466F" w:rsidP="005C089F">
            <w:r>
              <w:t>3.</w:t>
            </w:r>
            <w:r w:rsidR="00C1656D">
              <w:t>2</w:t>
            </w:r>
            <w:r>
              <w:t>% (3</w:t>
            </w:r>
            <w:r w:rsidR="00C1656D">
              <w:t>06</w:t>
            </w:r>
            <w:r>
              <w:t>)</w:t>
            </w:r>
          </w:p>
        </w:tc>
      </w:tr>
      <w:tr w:rsidR="00A3466F" w14:paraId="04DFA73B" w14:textId="77777777" w:rsidTr="005C089F">
        <w:tc>
          <w:tcPr>
            <w:tcW w:w="2972" w:type="dxa"/>
          </w:tcPr>
          <w:p w14:paraId="1266390B" w14:textId="77777777" w:rsidR="00A3466F" w:rsidRDefault="00A3466F" w:rsidP="005C089F">
            <w:r>
              <w:t>Separator (composting) toilet)</w:t>
            </w:r>
          </w:p>
        </w:tc>
        <w:tc>
          <w:tcPr>
            <w:tcW w:w="1701" w:type="dxa"/>
          </w:tcPr>
          <w:p w14:paraId="76A72266" w14:textId="24889E22" w:rsidR="00A3466F" w:rsidRDefault="00A3466F" w:rsidP="005C089F">
            <w:r>
              <w:t>2.</w:t>
            </w:r>
            <w:r w:rsidR="00C1656D">
              <w:t>7</w:t>
            </w:r>
            <w:r>
              <w:t>% (2</w:t>
            </w:r>
            <w:r w:rsidR="00C1656D">
              <w:t>52</w:t>
            </w:r>
            <w:r>
              <w:t>)</w:t>
            </w:r>
          </w:p>
        </w:tc>
      </w:tr>
      <w:tr w:rsidR="00A3466F" w14:paraId="7C4996A2" w14:textId="77777777" w:rsidTr="005C089F">
        <w:tc>
          <w:tcPr>
            <w:tcW w:w="2972" w:type="dxa"/>
          </w:tcPr>
          <w:p w14:paraId="131F45CC" w14:textId="77777777" w:rsidR="00A3466F" w:rsidRDefault="00A3466F" w:rsidP="005C089F">
            <w:r>
              <w:t>Solid fuel stove</w:t>
            </w:r>
          </w:p>
        </w:tc>
        <w:tc>
          <w:tcPr>
            <w:tcW w:w="1701" w:type="dxa"/>
          </w:tcPr>
          <w:p w14:paraId="31C561E7" w14:textId="56D7AF37" w:rsidR="00A3466F" w:rsidRDefault="00A3466F" w:rsidP="005C089F">
            <w:r>
              <w:t>1.3% (1</w:t>
            </w:r>
            <w:r w:rsidR="00C1656D">
              <w:t>25</w:t>
            </w:r>
            <w:r>
              <w:t>)</w:t>
            </w:r>
          </w:p>
        </w:tc>
      </w:tr>
    </w:tbl>
    <w:p w14:paraId="2E24BC24" w14:textId="77777777" w:rsidR="00A3466F" w:rsidRDefault="00A3466F" w:rsidP="00A3466F"/>
    <w:p w14:paraId="52526B26" w14:textId="4F1FA8D5" w:rsidR="00A3466F" w:rsidRDefault="00C1656D" w:rsidP="00A3466F">
      <w:r>
        <w:rPr>
          <w:b/>
          <w:bCs/>
        </w:rPr>
        <w:t>32.1</w:t>
      </w:r>
      <w:r w:rsidR="00A3466F" w:rsidRPr="00A2578E">
        <w:rPr>
          <w:b/>
          <w:bCs/>
        </w:rPr>
        <w:t>%</w:t>
      </w:r>
      <w:r w:rsidR="00A3466F">
        <w:t xml:space="preserve"> of respondents have experienced mechanical issues with their boats in the past 12 months.</w:t>
      </w:r>
    </w:p>
    <w:p w14:paraId="3EE561E1" w14:textId="77777777" w:rsidR="00A3466F" w:rsidRDefault="00A3466F" w:rsidP="00A3466F"/>
    <w:p w14:paraId="00E8BCC0" w14:textId="77777777" w:rsidR="00A3466F" w:rsidRPr="00C87A13" w:rsidRDefault="00A3466F" w:rsidP="00A3466F">
      <w:pPr>
        <w:rPr>
          <w:b/>
          <w:bCs/>
        </w:rPr>
      </w:pPr>
      <w:r w:rsidRPr="00C87A13">
        <w:rPr>
          <w:b/>
          <w:bCs/>
        </w:rPr>
        <w:t>We asked liveaboard boaters how long they have lived on their current boat.</w:t>
      </w:r>
    </w:p>
    <w:tbl>
      <w:tblPr>
        <w:tblStyle w:val="TableGrid"/>
        <w:tblW w:w="0" w:type="auto"/>
        <w:tblLook w:val="04A0" w:firstRow="1" w:lastRow="0" w:firstColumn="1" w:lastColumn="0" w:noHBand="0" w:noVBand="1"/>
      </w:tblPr>
      <w:tblGrid>
        <w:gridCol w:w="2830"/>
        <w:gridCol w:w="1418"/>
      </w:tblGrid>
      <w:tr w:rsidR="00A3466F" w14:paraId="5F265FD8" w14:textId="77777777" w:rsidTr="005C089F">
        <w:tc>
          <w:tcPr>
            <w:tcW w:w="2830" w:type="dxa"/>
          </w:tcPr>
          <w:p w14:paraId="7B9DB437" w14:textId="77777777" w:rsidR="00A3466F" w:rsidRDefault="00A3466F" w:rsidP="005C089F">
            <w:r>
              <w:t>Less than a year</w:t>
            </w:r>
          </w:p>
        </w:tc>
        <w:tc>
          <w:tcPr>
            <w:tcW w:w="1418" w:type="dxa"/>
          </w:tcPr>
          <w:p w14:paraId="6C179119" w14:textId="34724825" w:rsidR="00A3466F" w:rsidRDefault="00C1656D" w:rsidP="005C089F">
            <w:r>
              <w:t>15.9% (508)</w:t>
            </w:r>
          </w:p>
        </w:tc>
      </w:tr>
      <w:tr w:rsidR="00A3466F" w14:paraId="2D7BC942" w14:textId="77777777" w:rsidTr="005C089F">
        <w:tc>
          <w:tcPr>
            <w:tcW w:w="2830" w:type="dxa"/>
          </w:tcPr>
          <w:p w14:paraId="5E37D3BC" w14:textId="77777777" w:rsidR="00A3466F" w:rsidRDefault="00A3466F" w:rsidP="005C089F">
            <w:r>
              <w:t>1 to 2 years</w:t>
            </w:r>
          </w:p>
        </w:tc>
        <w:tc>
          <w:tcPr>
            <w:tcW w:w="1418" w:type="dxa"/>
          </w:tcPr>
          <w:p w14:paraId="1EC2AD37" w14:textId="66624C79" w:rsidR="00A3466F" w:rsidRDefault="00C1656D" w:rsidP="005C089F">
            <w:r>
              <w:t>25.3% (808)</w:t>
            </w:r>
          </w:p>
        </w:tc>
      </w:tr>
      <w:tr w:rsidR="00A3466F" w14:paraId="156D94A5" w14:textId="77777777" w:rsidTr="005C089F">
        <w:tc>
          <w:tcPr>
            <w:tcW w:w="2830" w:type="dxa"/>
          </w:tcPr>
          <w:p w14:paraId="00E4BE40" w14:textId="77777777" w:rsidR="00A3466F" w:rsidRDefault="00A3466F" w:rsidP="005C089F">
            <w:r>
              <w:t>3 to 4 years</w:t>
            </w:r>
          </w:p>
        </w:tc>
        <w:tc>
          <w:tcPr>
            <w:tcW w:w="1418" w:type="dxa"/>
          </w:tcPr>
          <w:p w14:paraId="6263457C" w14:textId="02D9D363" w:rsidR="00A3466F" w:rsidRDefault="00A3466F" w:rsidP="005C089F">
            <w:r>
              <w:t>16</w:t>
            </w:r>
            <w:r w:rsidR="00C1656D">
              <w:t>.5% (527)</w:t>
            </w:r>
          </w:p>
        </w:tc>
      </w:tr>
      <w:tr w:rsidR="00A3466F" w14:paraId="52FB2478" w14:textId="77777777" w:rsidTr="005C089F">
        <w:tc>
          <w:tcPr>
            <w:tcW w:w="2830" w:type="dxa"/>
          </w:tcPr>
          <w:p w14:paraId="27EC40C7" w14:textId="77777777" w:rsidR="00A3466F" w:rsidRDefault="00A3466F" w:rsidP="005C089F">
            <w:r>
              <w:t>5 to 10 years</w:t>
            </w:r>
          </w:p>
        </w:tc>
        <w:tc>
          <w:tcPr>
            <w:tcW w:w="1418" w:type="dxa"/>
          </w:tcPr>
          <w:p w14:paraId="2D7DED08" w14:textId="58F6988E" w:rsidR="00A3466F" w:rsidRDefault="00A3466F" w:rsidP="005C089F">
            <w:r>
              <w:t>22</w:t>
            </w:r>
            <w:r w:rsidR="00C1656D">
              <w:t>.0</w:t>
            </w:r>
            <w:r>
              <w:t>%</w:t>
            </w:r>
            <w:r w:rsidR="00C1656D">
              <w:t xml:space="preserve"> (704)</w:t>
            </w:r>
          </w:p>
        </w:tc>
      </w:tr>
      <w:tr w:rsidR="00A3466F" w14:paraId="02EDDCE3" w14:textId="77777777" w:rsidTr="005C089F">
        <w:tc>
          <w:tcPr>
            <w:tcW w:w="2830" w:type="dxa"/>
          </w:tcPr>
          <w:p w14:paraId="07B30443" w14:textId="77777777" w:rsidR="00A3466F" w:rsidRDefault="00A3466F" w:rsidP="005C089F">
            <w:r>
              <w:t>More than 10 years</w:t>
            </w:r>
          </w:p>
        </w:tc>
        <w:tc>
          <w:tcPr>
            <w:tcW w:w="1418" w:type="dxa"/>
          </w:tcPr>
          <w:p w14:paraId="79B72AB2" w14:textId="06B43351" w:rsidR="00A3466F" w:rsidRDefault="00A3466F" w:rsidP="005C089F">
            <w:r>
              <w:t>20.3%</w:t>
            </w:r>
            <w:r w:rsidR="00C1656D">
              <w:t xml:space="preserve"> (647)</w:t>
            </w:r>
          </w:p>
        </w:tc>
      </w:tr>
    </w:tbl>
    <w:p w14:paraId="7A3FAB6E" w14:textId="77777777" w:rsidR="00A3466F" w:rsidRDefault="00A3466F" w:rsidP="00A3466F"/>
    <w:p w14:paraId="77A0994A" w14:textId="77777777" w:rsidR="00A3466F" w:rsidRPr="004E179E" w:rsidRDefault="00A3466F" w:rsidP="00A3466F">
      <w:pPr>
        <w:rPr>
          <w:b/>
          <w:bCs/>
        </w:rPr>
      </w:pPr>
      <w:r w:rsidRPr="004E179E">
        <w:rPr>
          <w:b/>
          <w:bCs/>
        </w:rPr>
        <w:t>New liveaboard boaters</w:t>
      </w:r>
    </w:p>
    <w:p w14:paraId="6725A63D" w14:textId="1BBD30BD" w:rsidR="00A3466F" w:rsidRDefault="00A3466F" w:rsidP="00A3466F">
      <w:r>
        <w:t xml:space="preserve">For </w:t>
      </w:r>
      <w:r w:rsidRPr="00E167FA">
        <w:rPr>
          <w:b/>
          <w:bCs/>
        </w:rPr>
        <w:t>7</w:t>
      </w:r>
      <w:r w:rsidR="00C1656D">
        <w:rPr>
          <w:b/>
          <w:bCs/>
        </w:rPr>
        <w:t>4.7</w:t>
      </w:r>
      <w:r w:rsidRPr="00E167FA">
        <w:rPr>
          <w:b/>
          <w:bCs/>
        </w:rPr>
        <w:t>%</w:t>
      </w:r>
      <w:r w:rsidR="00C1656D">
        <w:rPr>
          <w:b/>
          <w:bCs/>
        </w:rPr>
        <w:t xml:space="preserve"> (2,254)</w:t>
      </w:r>
      <w:r>
        <w:t xml:space="preserve"> of liveaboard respondents, this is the first boat they have ever lived on. </w:t>
      </w:r>
      <w:r w:rsidR="00C1656D">
        <w:t xml:space="preserve">About two fifths </w:t>
      </w:r>
      <w:r>
        <w:t>of these boaters have been living aboard for less than 3 years:</w:t>
      </w:r>
    </w:p>
    <w:tbl>
      <w:tblPr>
        <w:tblStyle w:val="TableGrid"/>
        <w:tblW w:w="0" w:type="auto"/>
        <w:tblLook w:val="04A0" w:firstRow="1" w:lastRow="0" w:firstColumn="1" w:lastColumn="0" w:noHBand="0" w:noVBand="1"/>
      </w:tblPr>
      <w:tblGrid>
        <w:gridCol w:w="2830"/>
        <w:gridCol w:w="1418"/>
      </w:tblGrid>
      <w:tr w:rsidR="00A3466F" w14:paraId="1382C21C" w14:textId="77777777" w:rsidTr="005C089F">
        <w:tc>
          <w:tcPr>
            <w:tcW w:w="2830" w:type="dxa"/>
          </w:tcPr>
          <w:p w14:paraId="2A6763D4" w14:textId="77777777" w:rsidR="00A3466F" w:rsidRDefault="00A3466F" w:rsidP="005C089F">
            <w:r>
              <w:t>Less than a year</w:t>
            </w:r>
          </w:p>
        </w:tc>
        <w:tc>
          <w:tcPr>
            <w:tcW w:w="1418" w:type="dxa"/>
          </w:tcPr>
          <w:p w14:paraId="5B6D848B" w14:textId="0B7D9749" w:rsidR="00A3466F" w:rsidRDefault="00C1656D" w:rsidP="005C089F">
            <w:r>
              <w:t>16.8% (378)</w:t>
            </w:r>
          </w:p>
        </w:tc>
      </w:tr>
      <w:tr w:rsidR="00A3466F" w14:paraId="11D46D42" w14:textId="77777777" w:rsidTr="005C089F">
        <w:tc>
          <w:tcPr>
            <w:tcW w:w="2830" w:type="dxa"/>
          </w:tcPr>
          <w:p w14:paraId="1A5D5815" w14:textId="77777777" w:rsidR="00A3466F" w:rsidRDefault="00A3466F" w:rsidP="005C089F">
            <w:r>
              <w:t>1 to 2 years</w:t>
            </w:r>
          </w:p>
        </w:tc>
        <w:tc>
          <w:tcPr>
            <w:tcW w:w="1418" w:type="dxa"/>
          </w:tcPr>
          <w:p w14:paraId="0A08E20B" w14:textId="7EA424C7" w:rsidR="00A3466F" w:rsidRDefault="00C1656D" w:rsidP="005C089F">
            <w:r>
              <w:t>26.0% (586)</w:t>
            </w:r>
          </w:p>
        </w:tc>
      </w:tr>
      <w:tr w:rsidR="00A3466F" w14:paraId="70870422" w14:textId="77777777" w:rsidTr="005C089F">
        <w:tc>
          <w:tcPr>
            <w:tcW w:w="2830" w:type="dxa"/>
          </w:tcPr>
          <w:p w14:paraId="1D70255E" w14:textId="77777777" w:rsidR="00A3466F" w:rsidRDefault="00A3466F" w:rsidP="005C089F">
            <w:r>
              <w:t>3 to 4 years</w:t>
            </w:r>
          </w:p>
        </w:tc>
        <w:tc>
          <w:tcPr>
            <w:tcW w:w="1418" w:type="dxa"/>
          </w:tcPr>
          <w:p w14:paraId="725636F3" w14:textId="2E8A7626" w:rsidR="00A3466F" w:rsidRDefault="00C1656D" w:rsidP="005C089F">
            <w:r>
              <w:t>16.7% (377)</w:t>
            </w:r>
          </w:p>
        </w:tc>
      </w:tr>
      <w:tr w:rsidR="00A3466F" w14:paraId="77D09C00" w14:textId="77777777" w:rsidTr="005C089F">
        <w:tc>
          <w:tcPr>
            <w:tcW w:w="2830" w:type="dxa"/>
          </w:tcPr>
          <w:p w14:paraId="06B66FEF" w14:textId="77777777" w:rsidR="00A3466F" w:rsidRDefault="00A3466F" w:rsidP="005C089F">
            <w:r>
              <w:t>5 to 10 years</w:t>
            </w:r>
          </w:p>
        </w:tc>
        <w:tc>
          <w:tcPr>
            <w:tcW w:w="1418" w:type="dxa"/>
          </w:tcPr>
          <w:p w14:paraId="1FF0E6BD" w14:textId="32C0BF43" w:rsidR="00A3466F" w:rsidRDefault="00C1656D" w:rsidP="005C089F">
            <w:r>
              <w:t>21.4% (483)</w:t>
            </w:r>
          </w:p>
        </w:tc>
      </w:tr>
      <w:tr w:rsidR="00A3466F" w14:paraId="38243D72" w14:textId="77777777" w:rsidTr="005C089F">
        <w:tc>
          <w:tcPr>
            <w:tcW w:w="2830" w:type="dxa"/>
          </w:tcPr>
          <w:p w14:paraId="18FDA6CF" w14:textId="77777777" w:rsidR="00A3466F" w:rsidRDefault="00A3466F" w:rsidP="005C089F">
            <w:r>
              <w:t>More than 10 years</w:t>
            </w:r>
          </w:p>
        </w:tc>
        <w:tc>
          <w:tcPr>
            <w:tcW w:w="1418" w:type="dxa"/>
          </w:tcPr>
          <w:p w14:paraId="55F521F3" w14:textId="66845AC4" w:rsidR="00A3466F" w:rsidRDefault="00C1656D" w:rsidP="005C089F">
            <w:r>
              <w:t>19.1% (430)</w:t>
            </w:r>
          </w:p>
        </w:tc>
      </w:tr>
    </w:tbl>
    <w:p w14:paraId="615613E8" w14:textId="77777777" w:rsidR="00A3466F" w:rsidRDefault="00A3466F" w:rsidP="00A3466F"/>
    <w:p w14:paraId="3E468EC9" w14:textId="77777777" w:rsidR="00A3466F" w:rsidRPr="0066077F" w:rsidRDefault="00A3466F" w:rsidP="00A3466F">
      <w:pPr>
        <w:pStyle w:val="Heading1"/>
      </w:pPr>
      <w:bookmarkStart w:id="8" w:name="_Toc132711576"/>
      <w:r w:rsidRPr="0066077F">
        <w:lastRenderedPageBreak/>
        <w:t>Moorings</w:t>
      </w:r>
      <w:bookmarkEnd w:id="8"/>
    </w:p>
    <w:p w14:paraId="33E09740" w14:textId="77777777" w:rsidR="00A3466F" w:rsidRDefault="00A3466F" w:rsidP="00A3466F">
      <w:r>
        <w:t xml:space="preserve">There are around </w:t>
      </w:r>
      <w:r w:rsidRPr="00650A47">
        <w:rPr>
          <w:b/>
          <w:bCs/>
        </w:rPr>
        <w:t>1,600 long-term mooring sites</w:t>
      </w:r>
      <w:r>
        <w:t xml:space="preserve"> on the Canal &amp; River Trust network, varying in size from a very small site with just one or two berths, to large marinas with 100+ berths. The Canal &amp; River Trust’s Waterside Mooring team directly manages </w:t>
      </w:r>
      <w:r w:rsidRPr="00407CFB">
        <w:rPr>
          <w:b/>
          <w:bCs/>
        </w:rPr>
        <w:t>323 sites with a total of 3,720 berths</w:t>
      </w:r>
      <w:r>
        <w:t xml:space="preserve">. This represents about 11% of the total long-term mooring space available on the network: the rest is managed by private mooring providers. </w:t>
      </w:r>
    </w:p>
    <w:p w14:paraId="4A17511C" w14:textId="371E355F" w:rsidR="00A3466F" w:rsidRDefault="00A3466F" w:rsidP="00A3466F">
      <w:r>
        <w:t xml:space="preserve">According to the Census Survey results, </w:t>
      </w:r>
      <w:r w:rsidR="002074F5">
        <w:rPr>
          <w:b/>
          <w:bCs/>
        </w:rPr>
        <w:t>74.3</w:t>
      </w:r>
      <w:r w:rsidRPr="00407CFB">
        <w:rPr>
          <w:b/>
          <w:bCs/>
        </w:rPr>
        <w:t>%</w:t>
      </w:r>
      <w:r>
        <w:t xml:space="preserve"> of respondents have a home mooring. Of these, 76.</w:t>
      </w:r>
      <w:r w:rsidR="002074F5">
        <w:t>6</w:t>
      </w:r>
      <w:r>
        <w:t>% are leisure boaters and 23.</w:t>
      </w:r>
      <w:r w:rsidR="002074F5">
        <w:t>4</w:t>
      </w:r>
      <w:r>
        <w:t>% live aboard.</w:t>
      </w:r>
      <w:r w:rsidRPr="00C87A13">
        <w:rPr>
          <w:vertAlign w:val="superscript"/>
        </w:rPr>
        <w:t>4</w:t>
      </w:r>
    </w:p>
    <w:p w14:paraId="7B8F775C" w14:textId="1CF24B4A" w:rsidR="00A3466F" w:rsidRPr="00C87A13" w:rsidRDefault="00A3466F" w:rsidP="00A3466F">
      <w:pPr>
        <w:rPr>
          <w:i/>
          <w:iCs/>
        </w:rPr>
      </w:pPr>
      <w:r w:rsidRPr="00C87A13">
        <w:rPr>
          <w:i/>
          <w:iCs/>
        </w:rPr>
        <w:t>4. These figures represent what boaters have told us they use their boats for, but do not indicate whether the mooring they occupy has leisure or residential planning status. The Canal &amp; River Trust does not hold this information for all the moorings on our network</w:t>
      </w:r>
      <w:r w:rsidR="002074F5">
        <w:rPr>
          <w:i/>
          <w:iCs/>
        </w:rPr>
        <w:t>.</w:t>
      </w:r>
    </w:p>
    <w:p w14:paraId="49E2FC9B" w14:textId="77777777" w:rsidR="00A3466F" w:rsidRDefault="00A3466F" w:rsidP="00A3466F"/>
    <w:p w14:paraId="2401ADA3" w14:textId="77777777" w:rsidR="00A3466F" w:rsidRPr="00407CFB" w:rsidRDefault="00A3466F" w:rsidP="00A3466F">
      <w:pPr>
        <w:rPr>
          <w:b/>
          <w:bCs/>
        </w:rPr>
      </w:pPr>
      <w:r w:rsidRPr="00C87865">
        <w:rPr>
          <w:b/>
          <w:bCs/>
        </w:rPr>
        <w:t>Mooring types</w:t>
      </w:r>
    </w:p>
    <w:tbl>
      <w:tblPr>
        <w:tblStyle w:val="TableGrid"/>
        <w:tblW w:w="0" w:type="auto"/>
        <w:tblLook w:val="04A0" w:firstRow="1" w:lastRow="0" w:firstColumn="1" w:lastColumn="0" w:noHBand="0" w:noVBand="1"/>
      </w:tblPr>
      <w:tblGrid>
        <w:gridCol w:w="4508"/>
        <w:gridCol w:w="2291"/>
      </w:tblGrid>
      <w:tr w:rsidR="00A3466F" w14:paraId="684D70EA" w14:textId="77777777" w:rsidTr="005C089F">
        <w:tc>
          <w:tcPr>
            <w:tcW w:w="4508" w:type="dxa"/>
          </w:tcPr>
          <w:p w14:paraId="6F6F0C32" w14:textId="77777777" w:rsidR="00A3466F" w:rsidRDefault="00A3466F" w:rsidP="005C089F">
            <w:r>
              <w:t>An offline mooring with a private operator</w:t>
            </w:r>
          </w:p>
        </w:tc>
        <w:tc>
          <w:tcPr>
            <w:tcW w:w="2291" w:type="dxa"/>
          </w:tcPr>
          <w:p w14:paraId="1233CD08" w14:textId="3C313CB2" w:rsidR="00A3466F" w:rsidRDefault="002074F5" w:rsidP="005C089F">
            <w:r>
              <w:t>50.1% (3,445)</w:t>
            </w:r>
          </w:p>
        </w:tc>
      </w:tr>
      <w:tr w:rsidR="00A3466F" w14:paraId="0BBBF80A" w14:textId="77777777" w:rsidTr="005C089F">
        <w:tc>
          <w:tcPr>
            <w:tcW w:w="4508" w:type="dxa"/>
          </w:tcPr>
          <w:p w14:paraId="7DF1A602" w14:textId="77777777" w:rsidR="00A3466F" w:rsidRDefault="00A3466F" w:rsidP="005C089F">
            <w:r>
              <w:t>An online mooring with a private operator</w:t>
            </w:r>
          </w:p>
        </w:tc>
        <w:tc>
          <w:tcPr>
            <w:tcW w:w="2291" w:type="dxa"/>
          </w:tcPr>
          <w:p w14:paraId="3A7A953C" w14:textId="7B706A4F" w:rsidR="00A3466F" w:rsidRDefault="002074F5" w:rsidP="005C089F">
            <w:r>
              <w:t>17.4% (1,196)</w:t>
            </w:r>
          </w:p>
        </w:tc>
      </w:tr>
      <w:tr w:rsidR="00A3466F" w14:paraId="630EED29" w14:textId="77777777" w:rsidTr="005C089F">
        <w:tc>
          <w:tcPr>
            <w:tcW w:w="4508" w:type="dxa"/>
          </w:tcPr>
          <w:p w14:paraId="452757EC" w14:textId="77777777" w:rsidR="00A3466F" w:rsidRDefault="00A3466F" w:rsidP="005C089F">
            <w:r>
              <w:t>An offline Canal &amp; River Trust mooring</w:t>
            </w:r>
            <w:r w:rsidRPr="00C87A13">
              <w:rPr>
                <w:vertAlign w:val="superscript"/>
              </w:rPr>
              <w:t>5</w:t>
            </w:r>
          </w:p>
        </w:tc>
        <w:tc>
          <w:tcPr>
            <w:tcW w:w="2291" w:type="dxa"/>
          </w:tcPr>
          <w:p w14:paraId="1164CCBB" w14:textId="3095862F" w:rsidR="00A3466F" w:rsidRDefault="002074F5" w:rsidP="005C089F">
            <w:r>
              <w:t>16.7% (1,150)</w:t>
            </w:r>
          </w:p>
        </w:tc>
      </w:tr>
      <w:tr w:rsidR="00A3466F" w14:paraId="433BBEEE" w14:textId="77777777" w:rsidTr="005C089F">
        <w:tc>
          <w:tcPr>
            <w:tcW w:w="4508" w:type="dxa"/>
          </w:tcPr>
          <w:p w14:paraId="4EAD25D2" w14:textId="77777777" w:rsidR="00A3466F" w:rsidRDefault="00A3466F" w:rsidP="005C089F">
            <w:r>
              <w:t>An online Canal &amp; River Trust mooring</w:t>
            </w:r>
          </w:p>
        </w:tc>
        <w:tc>
          <w:tcPr>
            <w:tcW w:w="2291" w:type="dxa"/>
          </w:tcPr>
          <w:p w14:paraId="6390C0A7" w14:textId="26D3C9CC" w:rsidR="00A3466F" w:rsidRDefault="002074F5" w:rsidP="005C089F">
            <w:r>
              <w:t>10.1% (693)</w:t>
            </w:r>
          </w:p>
        </w:tc>
      </w:tr>
      <w:tr w:rsidR="00A3466F" w14:paraId="59EA2076" w14:textId="77777777" w:rsidTr="005C089F">
        <w:tc>
          <w:tcPr>
            <w:tcW w:w="4508" w:type="dxa"/>
          </w:tcPr>
          <w:p w14:paraId="66187864" w14:textId="77777777" w:rsidR="00A3466F" w:rsidRDefault="00A3466F" w:rsidP="005C089F">
            <w:r>
              <w:t>An end-of-garden/private land mooring</w:t>
            </w:r>
          </w:p>
        </w:tc>
        <w:tc>
          <w:tcPr>
            <w:tcW w:w="2291" w:type="dxa"/>
          </w:tcPr>
          <w:p w14:paraId="53CF7C8D" w14:textId="26C0F2CE" w:rsidR="00A3466F" w:rsidRDefault="002074F5" w:rsidP="005C089F">
            <w:r>
              <w:t>4.0% (275)</w:t>
            </w:r>
          </w:p>
        </w:tc>
      </w:tr>
      <w:tr w:rsidR="00A3466F" w14:paraId="5D8213A6" w14:textId="77777777" w:rsidTr="005C089F">
        <w:tc>
          <w:tcPr>
            <w:tcW w:w="4508" w:type="dxa"/>
          </w:tcPr>
          <w:p w14:paraId="05EC36A6" w14:textId="77777777" w:rsidR="00A3466F" w:rsidRDefault="00A3466F" w:rsidP="005C089F">
            <w:r>
              <w:t>Other (e.g. not on Trust waterways)</w:t>
            </w:r>
          </w:p>
        </w:tc>
        <w:tc>
          <w:tcPr>
            <w:tcW w:w="2291" w:type="dxa"/>
          </w:tcPr>
          <w:p w14:paraId="51F9215F" w14:textId="39C1806E" w:rsidR="00A3466F" w:rsidRDefault="002074F5" w:rsidP="005C089F">
            <w:r>
              <w:t>1.8% (122)</w:t>
            </w:r>
          </w:p>
        </w:tc>
      </w:tr>
    </w:tbl>
    <w:p w14:paraId="6238B4D9" w14:textId="77777777" w:rsidR="00A3466F" w:rsidRDefault="00A3466F" w:rsidP="00A3466F"/>
    <w:p w14:paraId="347ED81A" w14:textId="758FF011" w:rsidR="00A3466F" w:rsidRPr="00C87A13" w:rsidRDefault="00A3466F" w:rsidP="00A3466F">
      <w:pPr>
        <w:rPr>
          <w:i/>
          <w:iCs/>
        </w:rPr>
      </w:pPr>
      <w:r w:rsidRPr="00C87A13">
        <w:rPr>
          <w:i/>
          <w:iCs/>
        </w:rPr>
        <w:t>5.</w:t>
      </w:r>
      <w:r w:rsidRPr="00C87A13">
        <w:rPr>
          <w:i/>
          <w:iCs/>
          <w:vertAlign w:val="superscript"/>
        </w:rPr>
        <w:t xml:space="preserve"> </w:t>
      </w:r>
      <w:r w:rsidRPr="00C87A13">
        <w:rPr>
          <w:i/>
          <w:iCs/>
        </w:rPr>
        <w:t>Although 1,</w:t>
      </w:r>
      <w:r w:rsidR="002074F5">
        <w:rPr>
          <w:i/>
          <w:iCs/>
        </w:rPr>
        <w:t>150</w:t>
      </w:r>
      <w:r w:rsidRPr="00C87A13">
        <w:rPr>
          <w:i/>
          <w:iCs/>
        </w:rPr>
        <w:t xml:space="preserve"> respondents indicated that they have an offline Canal &amp; River Trust mooring, there are in fact only 1,105 berths in this category on the network. This indicates there may be some confusion around the definition of types of mooring site.</w:t>
      </w:r>
    </w:p>
    <w:p w14:paraId="01352D2C" w14:textId="77777777" w:rsidR="00A3466F" w:rsidRDefault="00A3466F" w:rsidP="00A3466F"/>
    <w:p w14:paraId="7012AEA6" w14:textId="77777777" w:rsidR="00A3466F" w:rsidRDefault="00A3466F" w:rsidP="00A3466F">
      <w:r w:rsidRPr="00C87A13">
        <w:rPr>
          <w:b/>
          <w:bCs/>
        </w:rPr>
        <w:t>Online moorings</w:t>
      </w:r>
      <w:r>
        <w:t xml:space="preserve"> are those along the main line of the navigation, including both those on the towpath side and “offside” (the opposite side to the towpath).</w:t>
      </w:r>
    </w:p>
    <w:p w14:paraId="17C302F4" w14:textId="77777777" w:rsidR="00A3466F" w:rsidRDefault="00A3466F" w:rsidP="00A3466F">
      <w:r w:rsidRPr="00C87A13">
        <w:rPr>
          <w:b/>
          <w:bCs/>
        </w:rPr>
        <w:t>Offline moorings</w:t>
      </w:r>
      <w:r>
        <w:t xml:space="preserve"> are not on the main line of the navigation. They are usually in marinas, docks and basins.</w:t>
      </w:r>
    </w:p>
    <w:p w14:paraId="2F551831" w14:textId="77777777" w:rsidR="00A3466F" w:rsidRDefault="00A3466F" w:rsidP="00A3466F"/>
    <w:p w14:paraId="6E8DE990" w14:textId="77777777" w:rsidR="00A3466F" w:rsidRPr="008A6DC8" w:rsidRDefault="00A3466F" w:rsidP="00A3466F">
      <w:pPr>
        <w:rPr>
          <w:b/>
          <w:bCs/>
        </w:rPr>
      </w:pPr>
      <w:r w:rsidRPr="008A6DC8">
        <w:rPr>
          <w:b/>
          <w:bCs/>
        </w:rPr>
        <w:t>We asked what matters most when choosing a long-term mooring.</w:t>
      </w:r>
    </w:p>
    <w:tbl>
      <w:tblPr>
        <w:tblStyle w:val="TableGrid"/>
        <w:tblW w:w="0" w:type="auto"/>
        <w:tblLook w:val="04A0" w:firstRow="1" w:lastRow="0" w:firstColumn="1" w:lastColumn="0" w:noHBand="0" w:noVBand="1"/>
      </w:tblPr>
      <w:tblGrid>
        <w:gridCol w:w="4508"/>
        <w:gridCol w:w="4508"/>
      </w:tblGrid>
      <w:tr w:rsidR="002074F5" w14:paraId="1AAFBF22" w14:textId="77777777" w:rsidTr="005C089F">
        <w:tc>
          <w:tcPr>
            <w:tcW w:w="4508" w:type="dxa"/>
          </w:tcPr>
          <w:p w14:paraId="55462A61" w14:textId="77777777" w:rsidR="002074F5" w:rsidRDefault="002074F5" w:rsidP="002074F5">
            <w:pPr>
              <w:jc w:val="center"/>
            </w:pPr>
            <w:r>
              <w:t>Good services nearby (sewage, rubbish etc.)</w:t>
            </w:r>
          </w:p>
          <w:p w14:paraId="7FD4A8D2" w14:textId="7FF69825" w:rsidR="002074F5" w:rsidRDefault="002074F5" w:rsidP="002074F5">
            <w:pPr>
              <w:jc w:val="center"/>
            </w:pPr>
            <w:r>
              <w:t>66.8%</w:t>
            </w:r>
          </w:p>
        </w:tc>
        <w:tc>
          <w:tcPr>
            <w:tcW w:w="4508" w:type="dxa"/>
          </w:tcPr>
          <w:p w14:paraId="732BF345" w14:textId="77777777" w:rsidR="002074F5" w:rsidRDefault="002074F5" w:rsidP="002074F5">
            <w:pPr>
              <w:jc w:val="center"/>
            </w:pPr>
            <w:r>
              <w:t>Attractive scenery/surroundings</w:t>
            </w:r>
          </w:p>
          <w:p w14:paraId="49569C1C" w14:textId="78209041" w:rsidR="002074F5" w:rsidRDefault="002074F5" w:rsidP="002074F5">
            <w:pPr>
              <w:jc w:val="center"/>
            </w:pPr>
            <w:r>
              <w:t>64.6%</w:t>
            </w:r>
          </w:p>
        </w:tc>
      </w:tr>
      <w:tr w:rsidR="002074F5" w14:paraId="502857E5" w14:textId="77777777" w:rsidTr="005C089F">
        <w:tc>
          <w:tcPr>
            <w:tcW w:w="4508" w:type="dxa"/>
          </w:tcPr>
          <w:p w14:paraId="63443079" w14:textId="77777777" w:rsidR="002074F5" w:rsidRDefault="002074F5" w:rsidP="002074F5">
            <w:pPr>
              <w:jc w:val="center"/>
            </w:pPr>
            <w:r>
              <w:t>Good mobile/Wi-Fi signal</w:t>
            </w:r>
          </w:p>
          <w:p w14:paraId="4A0489D8" w14:textId="3D5E93CB" w:rsidR="002074F5" w:rsidRDefault="002074F5" w:rsidP="002074F5">
            <w:pPr>
              <w:jc w:val="center"/>
            </w:pPr>
            <w:r>
              <w:t>66.3%</w:t>
            </w:r>
          </w:p>
        </w:tc>
        <w:tc>
          <w:tcPr>
            <w:tcW w:w="4508" w:type="dxa"/>
          </w:tcPr>
          <w:p w14:paraId="144B06ED" w14:textId="77777777" w:rsidR="002074F5" w:rsidRDefault="002074F5" w:rsidP="002074F5">
            <w:pPr>
              <w:jc w:val="center"/>
            </w:pPr>
            <w:r>
              <w:t>A friendly community</w:t>
            </w:r>
          </w:p>
          <w:p w14:paraId="5C62AA33" w14:textId="1D556893" w:rsidR="002074F5" w:rsidRDefault="002074F5" w:rsidP="002074F5">
            <w:pPr>
              <w:jc w:val="center"/>
            </w:pPr>
            <w:r>
              <w:t>63.4%</w:t>
            </w:r>
          </w:p>
        </w:tc>
      </w:tr>
      <w:tr w:rsidR="002074F5" w14:paraId="0D36A4A7" w14:textId="77777777" w:rsidTr="005C089F">
        <w:tc>
          <w:tcPr>
            <w:tcW w:w="4508" w:type="dxa"/>
          </w:tcPr>
          <w:p w14:paraId="36C0BF36" w14:textId="77777777" w:rsidR="002074F5" w:rsidRDefault="002074F5" w:rsidP="002074F5">
            <w:pPr>
              <w:jc w:val="center"/>
            </w:pPr>
            <w:r>
              <w:t>Somewhere I personally feel safe</w:t>
            </w:r>
          </w:p>
          <w:p w14:paraId="1B745E59" w14:textId="13077D82" w:rsidR="002074F5" w:rsidRDefault="002074F5" w:rsidP="002074F5">
            <w:pPr>
              <w:jc w:val="center"/>
            </w:pPr>
            <w:r>
              <w:t>65.4%</w:t>
            </w:r>
          </w:p>
        </w:tc>
        <w:tc>
          <w:tcPr>
            <w:tcW w:w="4508" w:type="dxa"/>
          </w:tcPr>
          <w:p w14:paraId="709984E6" w14:textId="77777777" w:rsidR="002074F5" w:rsidRDefault="002074F5" w:rsidP="002074F5">
            <w:pPr>
              <w:jc w:val="center"/>
            </w:pPr>
            <w:r>
              <w:t>Car parking nearby</w:t>
            </w:r>
          </w:p>
          <w:p w14:paraId="6F1ED74D" w14:textId="4C8C5FEB" w:rsidR="002074F5" w:rsidRDefault="002074F5" w:rsidP="002074F5">
            <w:pPr>
              <w:jc w:val="center"/>
            </w:pPr>
            <w:r>
              <w:t>62.0%</w:t>
            </w:r>
          </w:p>
        </w:tc>
      </w:tr>
    </w:tbl>
    <w:p w14:paraId="045761EE" w14:textId="77777777" w:rsidR="00A3466F" w:rsidRDefault="00A3466F" w:rsidP="00A3466F"/>
    <w:p w14:paraId="275490F9" w14:textId="77777777" w:rsidR="00A3466F" w:rsidRPr="008A6DC8" w:rsidRDefault="00A3466F" w:rsidP="00A3466F">
      <w:pPr>
        <w:rPr>
          <w:b/>
          <w:bCs/>
        </w:rPr>
      </w:pPr>
      <w:r w:rsidRPr="008A6DC8">
        <w:rPr>
          <w:b/>
          <w:bCs/>
        </w:rPr>
        <w:t>We also asked continuous cruisers if they were considering getting a long-term mooring.</w:t>
      </w:r>
    </w:p>
    <w:tbl>
      <w:tblPr>
        <w:tblStyle w:val="TableGrid"/>
        <w:tblW w:w="0" w:type="auto"/>
        <w:tblLook w:val="04A0" w:firstRow="1" w:lastRow="0" w:firstColumn="1" w:lastColumn="0" w:noHBand="0" w:noVBand="1"/>
      </w:tblPr>
      <w:tblGrid>
        <w:gridCol w:w="1413"/>
        <w:gridCol w:w="7603"/>
      </w:tblGrid>
      <w:tr w:rsidR="00A3466F" w14:paraId="710A1751" w14:textId="77777777" w:rsidTr="005C089F">
        <w:tc>
          <w:tcPr>
            <w:tcW w:w="1413" w:type="dxa"/>
          </w:tcPr>
          <w:p w14:paraId="724A6C0F" w14:textId="6510FDBF" w:rsidR="00A3466F" w:rsidRDefault="002074F5" w:rsidP="005C089F">
            <w:r>
              <w:t>31.0% (681)</w:t>
            </w:r>
          </w:p>
        </w:tc>
        <w:tc>
          <w:tcPr>
            <w:tcW w:w="7603" w:type="dxa"/>
          </w:tcPr>
          <w:p w14:paraId="2C205FDB" w14:textId="77777777" w:rsidR="00A3466F" w:rsidRDefault="00A3466F" w:rsidP="005C089F">
            <w:r>
              <w:t>I have no plans to take a permanent mooring, but l may/do take a mooring during winter months</w:t>
            </w:r>
          </w:p>
        </w:tc>
      </w:tr>
      <w:tr w:rsidR="00A3466F" w14:paraId="0DE714E3" w14:textId="77777777" w:rsidTr="005C089F">
        <w:tc>
          <w:tcPr>
            <w:tcW w:w="1413" w:type="dxa"/>
          </w:tcPr>
          <w:p w14:paraId="2B2D788F" w14:textId="41C45E6E" w:rsidR="00A3466F" w:rsidRDefault="00A3466F" w:rsidP="005C089F">
            <w:r>
              <w:lastRenderedPageBreak/>
              <w:t>28.</w:t>
            </w:r>
            <w:r w:rsidR="002074F5">
              <w:t>6</w:t>
            </w:r>
            <w:r>
              <w:t>% (</w:t>
            </w:r>
            <w:r w:rsidR="002074F5">
              <w:t>630</w:t>
            </w:r>
            <w:r>
              <w:t>)</w:t>
            </w:r>
          </w:p>
        </w:tc>
        <w:tc>
          <w:tcPr>
            <w:tcW w:w="7603" w:type="dxa"/>
          </w:tcPr>
          <w:p w14:paraId="0A76E2CA" w14:textId="77777777" w:rsidR="00A3466F" w:rsidRDefault="00A3466F" w:rsidP="005C089F">
            <w:r>
              <w:t>I have no plans to ever take a permanent mooring, l always want to continuously cruise</w:t>
            </w:r>
          </w:p>
        </w:tc>
      </w:tr>
      <w:tr w:rsidR="00A3466F" w14:paraId="56CCEF5F" w14:textId="77777777" w:rsidTr="005C089F">
        <w:tc>
          <w:tcPr>
            <w:tcW w:w="1413" w:type="dxa"/>
          </w:tcPr>
          <w:p w14:paraId="7518F019" w14:textId="36AE0D08" w:rsidR="00A3466F" w:rsidRDefault="002074F5" w:rsidP="005C089F">
            <w:r>
              <w:t>22.7</w:t>
            </w:r>
            <w:r w:rsidR="00A3466F">
              <w:t>% (6</w:t>
            </w:r>
            <w:r>
              <w:t>499</w:t>
            </w:r>
            <w:r w:rsidR="00A3466F">
              <w:t>)</w:t>
            </w:r>
          </w:p>
        </w:tc>
        <w:tc>
          <w:tcPr>
            <w:tcW w:w="7603" w:type="dxa"/>
          </w:tcPr>
          <w:p w14:paraId="58BFF2A8" w14:textId="77777777" w:rsidR="00A3466F" w:rsidRDefault="00A3466F" w:rsidP="005C089F">
            <w:r>
              <w:t>I don’t plan to take a permanent mooring any time soon, but am interested in a permanent mooring at some time in the future</w:t>
            </w:r>
          </w:p>
        </w:tc>
      </w:tr>
      <w:tr w:rsidR="00A3466F" w14:paraId="5E32E3E6" w14:textId="77777777" w:rsidTr="005C089F">
        <w:tc>
          <w:tcPr>
            <w:tcW w:w="1413" w:type="dxa"/>
          </w:tcPr>
          <w:p w14:paraId="0F07EF46" w14:textId="2A7D6514" w:rsidR="00A3466F" w:rsidRDefault="00A3466F" w:rsidP="005C089F">
            <w:r>
              <w:t>9.</w:t>
            </w:r>
            <w:r w:rsidR="002074F5">
              <w:t>6</w:t>
            </w:r>
            <w:r>
              <w:t>% (2</w:t>
            </w:r>
            <w:r w:rsidR="002074F5">
              <w:t>12</w:t>
            </w:r>
            <w:r>
              <w:t>)</w:t>
            </w:r>
          </w:p>
        </w:tc>
        <w:tc>
          <w:tcPr>
            <w:tcW w:w="7603" w:type="dxa"/>
          </w:tcPr>
          <w:p w14:paraId="3E730927" w14:textId="242E3BB0" w:rsidR="00A3466F" w:rsidRDefault="00A3466F" w:rsidP="005C089F">
            <w:r>
              <w:t xml:space="preserve">I have no plans to stop continuously cruising at the moment but plan to move off my boat into </w:t>
            </w:r>
            <w:r w:rsidR="002074F5">
              <w:t>land-based</w:t>
            </w:r>
            <w:r>
              <w:t xml:space="preserve"> accommodation at some point in the future</w:t>
            </w:r>
          </w:p>
        </w:tc>
      </w:tr>
      <w:tr w:rsidR="00A3466F" w14:paraId="63C7BAEF" w14:textId="77777777" w:rsidTr="005C089F">
        <w:tc>
          <w:tcPr>
            <w:tcW w:w="1413" w:type="dxa"/>
          </w:tcPr>
          <w:p w14:paraId="615DDA60" w14:textId="132EB317" w:rsidR="00A3466F" w:rsidRDefault="002074F5" w:rsidP="005C089F">
            <w:r>
              <w:t>6.6</w:t>
            </w:r>
            <w:r w:rsidR="00A3466F">
              <w:t>% (</w:t>
            </w:r>
            <w:r>
              <w:t>145</w:t>
            </w:r>
            <w:r w:rsidR="00A3466F">
              <w:t>)</w:t>
            </w:r>
          </w:p>
        </w:tc>
        <w:tc>
          <w:tcPr>
            <w:tcW w:w="7603" w:type="dxa"/>
          </w:tcPr>
          <w:p w14:paraId="688F7D53" w14:textId="77777777" w:rsidR="00A3466F" w:rsidRDefault="00A3466F" w:rsidP="005C089F">
            <w:r>
              <w:t>I am actively looking for a permanent mooring now</w:t>
            </w:r>
          </w:p>
        </w:tc>
      </w:tr>
      <w:tr w:rsidR="00A3466F" w14:paraId="19DD600F" w14:textId="77777777" w:rsidTr="005C089F">
        <w:tc>
          <w:tcPr>
            <w:tcW w:w="1413" w:type="dxa"/>
          </w:tcPr>
          <w:p w14:paraId="005B3E3E" w14:textId="07A73F2D" w:rsidR="00A3466F" w:rsidRDefault="00A3466F" w:rsidP="005C089F">
            <w:r>
              <w:t>1.5% (</w:t>
            </w:r>
            <w:r w:rsidR="002074F5">
              <w:t>33</w:t>
            </w:r>
            <w:r>
              <w:t>)</w:t>
            </w:r>
          </w:p>
        </w:tc>
        <w:tc>
          <w:tcPr>
            <w:tcW w:w="7603" w:type="dxa"/>
          </w:tcPr>
          <w:p w14:paraId="476F74B7" w14:textId="4F0FC8C2" w:rsidR="00A3466F" w:rsidRDefault="00A3466F" w:rsidP="005C089F">
            <w:r>
              <w:t xml:space="preserve">I am actively looking to move off my boat into </w:t>
            </w:r>
            <w:r w:rsidR="002074F5">
              <w:t>land-based</w:t>
            </w:r>
            <w:r>
              <w:t xml:space="preserve"> accommodation now</w:t>
            </w:r>
          </w:p>
        </w:tc>
      </w:tr>
    </w:tbl>
    <w:p w14:paraId="5CBADD90" w14:textId="77777777" w:rsidR="00A3466F" w:rsidRDefault="00A3466F" w:rsidP="00A3466F"/>
    <w:p w14:paraId="07D2CD69" w14:textId="77777777" w:rsidR="00A3466F" w:rsidRDefault="00A3466F" w:rsidP="00A3466F">
      <w:r>
        <w:br w:type="page"/>
      </w:r>
    </w:p>
    <w:p w14:paraId="3D1EDE6E" w14:textId="77777777" w:rsidR="00A3466F" w:rsidRPr="00287675" w:rsidRDefault="00A3466F" w:rsidP="00A3466F">
      <w:pPr>
        <w:pStyle w:val="Heading1"/>
      </w:pPr>
      <w:bookmarkStart w:id="9" w:name="_Toc132711577"/>
      <w:r w:rsidRPr="00287675">
        <w:lastRenderedPageBreak/>
        <w:t>Challenges</w:t>
      </w:r>
      <w:bookmarkEnd w:id="9"/>
    </w:p>
    <w:p w14:paraId="6447FF05" w14:textId="77777777" w:rsidR="00A3466F" w:rsidRDefault="00A3466F" w:rsidP="00A3466F">
      <w:r>
        <w:t>We asked boaters about the issues and challenges they have experienced due to living on a boat. The results include a large amount of qualitative data, which will be analysed section by section and published in a separate report. Here is a summary of the issues and challenges that respondents told us they have faced:</w:t>
      </w:r>
    </w:p>
    <w:tbl>
      <w:tblPr>
        <w:tblStyle w:val="TableGrid"/>
        <w:tblW w:w="9209" w:type="dxa"/>
        <w:tblLook w:val="04A0" w:firstRow="1" w:lastRow="0" w:firstColumn="1" w:lastColumn="0" w:noHBand="0" w:noVBand="1"/>
      </w:tblPr>
      <w:tblGrid>
        <w:gridCol w:w="4508"/>
        <w:gridCol w:w="4701"/>
      </w:tblGrid>
      <w:tr w:rsidR="00A3466F" w14:paraId="6C6DDAC4" w14:textId="77777777" w:rsidTr="005C089F">
        <w:tc>
          <w:tcPr>
            <w:tcW w:w="4508" w:type="dxa"/>
            <w:vAlign w:val="bottom"/>
          </w:tcPr>
          <w:p w14:paraId="390F5396" w14:textId="77777777" w:rsidR="00A3466F" w:rsidRDefault="00A3466F" w:rsidP="005C089F">
            <w:pPr>
              <w:jc w:val="center"/>
              <w:rPr>
                <w:rFonts w:ascii="Calibri" w:hAnsi="Calibri" w:cs="Calibri"/>
                <w:color w:val="000000"/>
              </w:rPr>
            </w:pPr>
            <w:r>
              <w:rPr>
                <w:rFonts w:ascii="Calibri" w:hAnsi="Calibri" w:cs="Calibri"/>
                <w:color w:val="000000"/>
              </w:rPr>
              <w:t>Accessing health services</w:t>
            </w:r>
          </w:p>
          <w:p w14:paraId="1C066322" w14:textId="77777777" w:rsidR="00A3466F" w:rsidRDefault="00A3466F" w:rsidP="005C089F">
            <w:pPr>
              <w:jc w:val="center"/>
            </w:pPr>
            <w:r>
              <w:rPr>
                <w:rFonts w:ascii="Calibri" w:hAnsi="Calibri" w:cs="Calibri"/>
                <w:color w:val="000000"/>
              </w:rPr>
              <w:t>31.7%</w:t>
            </w:r>
          </w:p>
        </w:tc>
        <w:tc>
          <w:tcPr>
            <w:tcW w:w="4701" w:type="dxa"/>
            <w:vAlign w:val="bottom"/>
          </w:tcPr>
          <w:p w14:paraId="3C15C753" w14:textId="77777777" w:rsidR="00A3466F" w:rsidRDefault="00A3466F" w:rsidP="005C089F">
            <w:pPr>
              <w:jc w:val="center"/>
              <w:rPr>
                <w:rFonts w:ascii="Calibri" w:hAnsi="Calibri" w:cs="Calibri"/>
                <w:color w:val="000000"/>
              </w:rPr>
            </w:pPr>
            <w:r>
              <w:rPr>
                <w:rFonts w:ascii="Calibri" w:hAnsi="Calibri" w:cs="Calibri"/>
                <w:color w:val="000000"/>
              </w:rPr>
              <w:t>Employment/work</w:t>
            </w:r>
          </w:p>
          <w:p w14:paraId="2A8C88EE" w14:textId="77777777" w:rsidR="00A3466F" w:rsidRDefault="00A3466F" w:rsidP="005C089F">
            <w:pPr>
              <w:jc w:val="center"/>
            </w:pPr>
            <w:r>
              <w:rPr>
                <w:rFonts w:ascii="Calibri" w:hAnsi="Calibri" w:cs="Calibri"/>
                <w:color w:val="000000"/>
              </w:rPr>
              <w:t>21.7%</w:t>
            </w:r>
          </w:p>
        </w:tc>
      </w:tr>
      <w:tr w:rsidR="00A3466F" w14:paraId="74851C2E" w14:textId="77777777" w:rsidTr="005C089F">
        <w:tc>
          <w:tcPr>
            <w:tcW w:w="4508" w:type="dxa"/>
            <w:vAlign w:val="bottom"/>
          </w:tcPr>
          <w:p w14:paraId="4D6E75E8" w14:textId="77777777" w:rsidR="00A3466F" w:rsidRDefault="00A3466F" w:rsidP="005C089F">
            <w:pPr>
              <w:jc w:val="center"/>
              <w:rPr>
                <w:rFonts w:ascii="Calibri" w:hAnsi="Calibri" w:cs="Calibri"/>
                <w:color w:val="000000"/>
              </w:rPr>
            </w:pPr>
            <w:r>
              <w:rPr>
                <w:rFonts w:ascii="Calibri" w:hAnsi="Calibri" w:cs="Calibri"/>
                <w:color w:val="000000"/>
              </w:rPr>
              <w:t>Disability or a long-term health condition</w:t>
            </w:r>
          </w:p>
          <w:p w14:paraId="21AE23EB" w14:textId="1E46DEB9" w:rsidR="00A3466F" w:rsidRDefault="00A3466F" w:rsidP="005C089F">
            <w:pPr>
              <w:jc w:val="center"/>
            </w:pPr>
            <w:r>
              <w:rPr>
                <w:rFonts w:ascii="Calibri" w:hAnsi="Calibri" w:cs="Calibri"/>
                <w:color w:val="000000"/>
              </w:rPr>
              <w:t>17.</w:t>
            </w:r>
            <w:r w:rsidR="00655A40">
              <w:rPr>
                <w:rFonts w:ascii="Calibri" w:hAnsi="Calibri" w:cs="Calibri"/>
                <w:color w:val="000000"/>
              </w:rPr>
              <w:t>5</w:t>
            </w:r>
            <w:r>
              <w:rPr>
                <w:rFonts w:ascii="Calibri" w:hAnsi="Calibri" w:cs="Calibri"/>
                <w:color w:val="000000"/>
              </w:rPr>
              <w:t>%</w:t>
            </w:r>
          </w:p>
        </w:tc>
        <w:tc>
          <w:tcPr>
            <w:tcW w:w="4701" w:type="dxa"/>
            <w:vAlign w:val="bottom"/>
          </w:tcPr>
          <w:p w14:paraId="30A4B1A8" w14:textId="77777777" w:rsidR="00A3466F" w:rsidRDefault="00A3466F" w:rsidP="005C089F">
            <w:pPr>
              <w:jc w:val="center"/>
              <w:rPr>
                <w:rFonts w:ascii="Calibri" w:hAnsi="Calibri" w:cs="Calibri"/>
                <w:color w:val="000000"/>
              </w:rPr>
            </w:pPr>
            <w:r>
              <w:rPr>
                <w:rFonts w:ascii="Calibri" w:hAnsi="Calibri" w:cs="Calibri"/>
                <w:color w:val="000000"/>
              </w:rPr>
              <w:t>Accessing financial services (e.g. banking, loans)</w:t>
            </w:r>
          </w:p>
          <w:p w14:paraId="39405838" w14:textId="31D8DBB7" w:rsidR="00A3466F" w:rsidRDefault="00A3466F" w:rsidP="005C089F">
            <w:pPr>
              <w:jc w:val="center"/>
            </w:pPr>
            <w:r>
              <w:rPr>
                <w:rFonts w:ascii="Calibri" w:hAnsi="Calibri" w:cs="Calibri"/>
                <w:color w:val="000000"/>
              </w:rPr>
              <w:t>16.</w:t>
            </w:r>
            <w:r w:rsidR="00655A40">
              <w:rPr>
                <w:rFonts w:ascii="Calibri" w:hAnsi="Calibri" w:cs="Calibri"/>
                <w:color w:val="000000"/>
              </w:rPr>
              <w:t>5</w:t>
            </w:r>
            <w:r>
              <w:rPr>
                <w:rFonts w:ascii="Calibri" w:hAnsi="Calibri" w:cs="Calibri"/>
                <w:color w:val="000000"/>
              </w:rPr>
              <w:t>%</w:t>
            </w:r>
          </w:p>
        </w:tc>
      </w:tr>
      <w:tr w:rsidR="00A3466F" w14:paraId="341B422F" w14:textId="77777777" w:rsidTr="005C089F">
        <w:tc>
          <w:tcPr>
            <w:tcW w:w="4508" w:type="dxa"/>
            <w:vAlign w:val="bottom"/>
          </w:tcPr>
          <w:p w14:paraId="64B69574" w14:textId="77777777" w:rsidR="00655A40" w:rsidRDefault="00655A40" w:rsidP="00655A40">
            <w:pPr>
              <w:jc w:val="center"/>
              <w:rPr>
                <w:rFonts w:ascii="Calibri" w:hAnsi="Calibri" w:cs="Calibri"/>
                <w:color w:val="000000"/>
              </w:rPr>
            </w:pPr>
            <w:r>
              <w:rPr>
                <w:rFonts w:ascii="Calibri" w:hAnsi="Calibri" w:cs="Calibri"/>
                <w:color w:val="000000"/>
              </w:rPr>
              <w:t>Caring responsibilities</w:t>
            </w:r>
          </w:p>
          <w:p w14:paraId="0A0C42CB" w14:textId="032F2B5B" w:rsidR="00A3466F" w:rsidRDefault="00655A40" w:rsidP="00655A40">
            <w:pPr>
              <w:jc w:val="center"/>
            </w:pPr>
            <w:r>
              <w:rPr>
                <w:rFonts w:ascii="Calibri" w:hAnsi="Calibri" w:cs="Calibri"/>
                <w:color w:val="000000"/>
              </w:rPr>
              <w:t>12.0%</w:t>
            </w:r>
          </w:p>
        </w:tc>
        <w:tc>
          <w:tcPr>
            <w:tcW w:w="4701" w:type="dxa"/>
            <w:vAlign w:val="bottom"/>
          </w:tcPr>
          <w:p w14:paraId="58D054C6" w14:textId="77777777" w:rsidR="00655A40" w:rsidRDefault="00655A40" w:rsidP="00655A40">
            <w:pPr>
              <w:jc w:val="center"/>
              <w:rPr>
                <w:rFonts w:ascii="Calibri" w:hAnsi="Calibri" w:cs="Calibri"/>
                <w:color w:val="000000"/>
              </w:rPr>
            </w:pPr>
            <w:r>
              <w:rPr>
                <w:rFonts w:ascii="Calibri" w:hAnsi="Calibri" w:cs="Calibri"/>
                <w:color w:val="000000"/>
              </w:rPr>
              <w:t>Accessing financial help (e.g. benefits)</w:t>
            </w:r>
          </w:p>
          <w:p w14:paraId="1184F0EC" w14:textId="4B512617" w:rsidR="00A3466F" w:rsidRDefault="00655A40" w:rsidP="00655A40">
            <w:pPr>
              <w:jc w:val="center"/>
            </w:pPr>
            <w:r>
              <w:rPr>
                <w:rFonts w:ascii="Calibri" w:hAnsi="Calibri" w:cs="Calibri"/>
                <w:color w:val="000000"/>
              </w:rPr>
              <w:t>11.6%</w:t>
            </w:r>
          </w:p>
        </w:tc>
      </w:tr>
      <w:tr w:rsidR="00A3466F" w14:paraId="546061C8" w14:textId="77777777" w:rsidTr="005C089F">
        <w:tc>
          <w:tcPr>
            <w:tcW w:w="4508" w:type="dxa"/>
            <w:vAlign w:val="bottom"/>
          </w:tcPr>
          <w:p w14:paraId="14C6E49C" w14:textId="77777777" w:rsidR="00A3466F" w:rsidRDefault="00A3466F" w:rsidP="005C089F">
            <w:pPr>
              <w:jc w:val="center"/>
              <w:rPr>
                <w:rFonts w:ascii="Calibri" w:hAnsi="Calibri" w:cs="Calibri"/>
                <w:color w:val="000000"/>
              </w:rPr>
            </w:pPr>
            <w:r>
              <w:rPr>
                <w:rFonts w:ascii="Calibri" w:hAnsi="Calibri" w:cs="Calibri"/>
                <w:color w:val="000000"/>
              </w:rPr>
              <w:t>Accessing education</w:t>
            </w:r>
          </w:p>
          <w:p w14:paraId="2D3CFEDA" w14:textId="77777777" w:rsidR="00A3466F" w:rsidRDefault="00A3466F" w:rsidP="005C089F">
            <w:pPr>
              <w:jc w:val="center"/>
            </w:pPr>
            <w:r>
              <w:rPr>
                <w:rFonts w:ascii="Calibri" w:hAnsi="Calibri" w:cs="Calibri"/>
                <w:color w:val="000000"/>
              </w:rPr>
              <w:t>3.0%</w:t>
            </w:r>
          </w:p>
        </w:tc>
        <w:tc>
          <w:tcPr>
            <w:tcW w:w="4701" w:type="dxa"/>
            <w:vAlign w:val="bottom"/>
          </w:tcPr>
          <w:p w14:paraId="1809C44B" w14:textId="77777777" w:rsidR="00A3466F" w:rsidRDefault="00A3466F" w:rsidP="005C089F">
            <w:pPr>
              <w:jc w:val="center"/>
              <w:rPr>
                <w:rFonts w:ascii="Calibri" w:hAnsi="Calibri" w:cs="Calibri"/>
                <w:color w:val="000000"/>
              </w:rPr>
            </w:pPr>
            <w:r>
              <w:rPr>
                <w:rFonts w:ascii="Calibri" w:hAnsi="Calibri" w:cs="Calibri"/>
                <w:color w:val="000000"/>
              </w:rPr>
              <w:t>Having a baby</w:t>
            </w:r>
          </w:p>
          <w:p w14:paraId="49BC3595" w14:textId="4671C119" w:rsidR="00A3466F" w:rsidRDefault="00A3466F" w:rsidP="005C089F">
            <w:pPr>
              <w:jc w:val="center"/>
            </w:pPr>
            <w:r>
              <w:rPr>
                <w:rFonts w:ascii="Calibri" w:hAnsi="Calibri" w:cs="Calibri"/>
                <w:color w:val="000000"/>
              </w:rPr>
              <w:t>2.</w:t>
            </w:r>
            <w:r w:rsidR="00655A40">
              <w:rPr>
                <w:rFonts w:ascii="Calibri" w:hAnsi="Calibri" w:cs="Calibri"/>
                <w:color w:val="000000"/>
              </w:rPr>
              <w:t>6</w:t>
            </w:r>
            <w:r>
              <w:rPr>
                <w:rFonts w:ascii="Calibri" w:hAnsi="Calibri" w:cs="Calibri"/>
                <w:color w:val="000000"/>
              </w:rPr>
              <w:t>%</w:t>
            </w:r>
          </w:p>
        </w:tc>
      </w:tr>
      <w:tr w:rsidR="00655A40" w14:paraId="58CAB72E" w14:textId="77777777" w:rsidTr="005C089F">
        <w:tc>
          <w:tcPr>
            <w:tcW w:w="4508" w:type="dxa"/>
            <w:vAlign w:val="bottom"/>
          </w:tcPr>
          <w:p w14:paraId="2313295D" w14:textId="77777777" w:rsidR="00655A40" w:rsidRDefault="00655A40" w:rsidP="005C089F">
            <w:pPr>
              <w:jc w:val="center"/>
              <w:rPr>
                <w:rFonts w:ascii="Calibri" w:hAnsi="Calibri" w:cs="Calibri"/>
                <w:color w:val="000000"/>
              </w:rPr>
            </w:pPr>
            <w:r>
              <w:rPr>
                <w:rFonts w:ascii="Calibri" w:hAnsi="Calibri" w:cs="Calibri"/>
                <w:color w:val="000000"/>
              </w:rPr>
              <w:t>Other challenges</w:t>
            </w:r>
          </w:p>
          <w:p w14:paraId="691AC34D" w14:textId="2BAD3DD8" w:rsidR="00655A40" w:rsidRDefault="00655A40" w:rsidP="005C089F">
            <w:pPr>
              <w:jc w:val="center"/>
              <w:rPr>
                <w:rFonts w:ascii="Calibri" w:hAnsi="Calibri" w:cs="Calibri"/>
                <w:color w:val="000000"/>
              </w:rPr>
            </w:pPr>
            <w:r>
              <w:rPr>
                <w:rFonts w:ascii="Calibri" w:hAnsi="Calibri" w:cs="Calibri"/>
                <w:color w:val="000000"/>
              </w:rPr>
              <w:t>34.0%</w:t>
            </w:r>
          </w:p>
        </w:tc>
        <w:tc>
          <w:tcPr>
            <w:tcW w:w="4701" w:type="dxa"/>
            <w:vAlign w:val="bottom"/>
          </w:tcPr>
          <w:p w14:paraId="42C348C0" w14:textId="77777777" w:rsidR="00655A40" w:rsidRDefault="00655A40" w:rsidP="005C089F">
            <w:pPr>
              <w:jc w:val="center"/>
              <w:rPr>
                <w:rFonts w:ascii="Calibri" w:hAnsi="Calibri" w:cs="Calibri"/>
                <w:color w:val="000000"/>
              </w:rPr>
            </w:pPr>
          </w:p>
        </w:tc>
      </w:tr>
    </w:tbl>
    <w:p w14:paraId="10940888" w14:textId="77777777" w:rsidR="00A3466F" w:rsidRDefault="00A3466F" w:rsidP="00A3466F"/>
    <w:p w14:paraId="1A17F8D7" w14:textId="77777777" w:rsidR="00A3466F" w:rsidRDefault="00A3466F" w:rsidP="00A3466F">
      <w:pPr>
        <w:rPr>
          <w:b/>
          <w:bCs/>
        </w:rPr>
      </w:pPr>
    </w:p>
    <w:p w14:paraId="24B202C2" w14:textId="77777777" w:rsidR="00A3466F" w:rsidRPr="0020113C" w:rsidRDefault="00A3466F" w:rsidP="00A3466F">
      <w:pPr>
        <w:rPr>
          <w:b/>
          <w:bCs/>
        </w:rPr>
      </w:pPr>
      <w:r>
        <w:rPr>
          <w:b/>
          <w:bCs/>
        </w:rPr>
        <w:t>Who didn’t respond to the Census Survey?</w:t>
      </w:r>
    </w:p>
    <w:p w14:paraId="5C209E39" w14:textId="77777777" w:rsidR="00A3466F" w:rsidRDefault="00A3466F" w:rsidP="00A3466F">
      <w:r>
        <w:t xml:space="preserve">Although the response rate to the Census Survey was relatively high, we are aware that some vulnerable boaters are overall less likely to have responded. In addition, those vulnerable boaters who have responded may have preferred not to answer some of the more personal questions about health, disabilities, living arrangements, benefits, and the challenges and issues they face. There are many possible reasons for this: access to computers and telephones, language barriers, and a range of potentially complex social and psychological factors. </w:t>
      </w:r>
    </w:p>
    <w:p w14:paraId="6A62D110" w14:textId="77777777" w:rsidR="00A3466F" w:rsidRDefault="00A3466F" w:rsidP="00A3466F">
      <w:r>
        <w:t>We received far fewer responses from single boat dwellers compared to couples and families. In contrast, the vast majority of our active welfare cases relate to people who live alone on their boats. We can’t be sure, but it is likely that there are many more single boat dwellers than these survey results suggest, and they probably include the boaters who face the most issues and challenges in their lives. Turn to page 12 for more information about our welfare work.</w:t>
      </w:r>
    </w:p>
    <w:p w14:paraId="6BFB4347" w14:textId="77777777" w:rsidR="00A3466F" w:rsidRDefault="00A3466F" w:rsidP="00A3466F">
      <w:pPr>
        <w:rPr>
          <w:b/>
          <w:bCs/>
        </w:rPr>
      </w:pPr>
      <w:r>
        <w:rPr>
          <w:b/>
          <w:bCs/>
        </w:rPr>
        <w:br w:type="page"/>
      </w:r>
    </w:p>
    <w:p w14:paraId="2150ED49" w14:textId="77777777" w:rsidR="00A3466F" w:rsidRPr="00042ECF" w:rsidRDefault="00A3466F" w:rsidP="00A3466F">
      <w:pPr>
        <w:pStyle w:val="Heading1"/>
      </w:pPr>
      <w:bookmarkStart w:id="10" w:name="_Toc132711578"/>
      <w:r w:rsidRPr="00042ECF">
        <w:lastRenderedPageBreak/>
        <w:t>Our welfare work</w:t>
      </w:r>
      <w:bookmarkEnd w:id="10"/>
    </w:p>
    <w:p w14:paraId="38ABD1FA" w14:textId="77777777" w:rsidR="00A3466F" w:rsidRDefault="00A3466F" w:rsidP="00A3466F"/>
    <w:p w14:paraId="32A33019" w14:textId="77777777" w:rsidR="00A3466F" w:rsidRDefault="00A3466F" w:rsidP="00A3466F">
      <w:r>
        <w:t xml:space="preserve">The Trust has a dedicated team of Welfare Officers who offer support to boaters who are struggling. The Welfare team works with boaters in a wide range of situations, often looking at requests for help accessing benefits, registering with services, managing their health needs. They also support boaters who are in crisis or who are having difficulties adhering to the terms and conditions of their boat licence. </w:t>
      </w:r>
    </w:p>
    <w:p w14:paraId="3979057A" w14:textId="77777777" w:rsidR="00A3466F" w:rsidRDefault="00A3466F" w:rsidP="00A3466F">
      <w:r>
        <w:t xml:space="preserve">The Welfare Officers support boaters who have or would like an adjustment to the normal cruising requirements under the Equalities Act (2010). Our equality adjustment process has supported over 1,400 boaters so far. </w:t>
      </w:r>
    </w:p>
    <w:p w14:paraId="72D3DD5A" w14:textId="77777777" w:rsidR="00A3466F" w:rsidRDefault="00A3466F" w:rsidP="00A3466F">
      <w:r>
        <w:t xml:space="preserve">Signposting is an essential service, and the Welfare team works closely with a number of other organisations including local authorities, Citizens Advice, the Waterways Chaplaincy, health outreach teams and local homeless outreach charities. The team also runs events around health, wellbeing and accessing support services with local partners. </w:t>
      </w:r>
    </w:p>
    <w:p w14:paraId="44DFC333" w14:textId="77777777" w:rsidR="00A3466F" w:rsidRDefault="00A3466F" w:rsidP="00A3466F">
      <w:r>
        <w:t>The Trust is committed to advocating for boaters and is working with the Government Department for Work and Pensions and the Department for Business, Energy and Industrial Strategy, to highlight the boating community’s needs. The Disabled Boaters’ Forum meets regularly to understand and respond to the needs of boaters with disabilities</w:t>
      </w:r>
    </w:p>
    <w:p w14:paraId="57505EF5" w14:textId="77777777" w:rsidR="00A3466F" w:rsidRDefault="00A3466F" w:rsidP="00A3466F"/>
    <w:p w14:paraId="4157B844" w14:textId="77777777" w:rsidR="00A3466F" w:rsidRDefault="00A3466F" w:rsidP="00A3466F"/>
    <w:p w14:paraId="5D44EBAF" w14:textId="77777777" w:rsidR="00A3466F" w:rsidRDefault="00A3466F" w:rsidP="00A3466F"/>
    <w:p w14:paraId="38127064" w14:textId="77777777" w:rsidR="00A3466F" w:rsidRDefault="00A3466F" w:rsidP="00A3466F"/>
    <w:p w14:paraId="366E81AC" w14:textId="77777777" w:rsidR="00A3466F" w:rsidRPr="000E12B7" w:rsidRDefault="00A3466F" w:rsidP="00A3466F">
      <w:pPr>
        <w:pStyle w:val="NoSpacing"/>
        <w:rPr>
          <w:b/>
          <w:bCs/>
        </w:rPr>
      </w:pPr>
      <w:r w:rsidRPr="000E12B7">
        <w:rPr>
          <w:b/>
          <w:bCs/>
        </w:rPr>
        <w:t xml:space="preserve">Canal &amp; River Trust </w:t>
      </w:r>
    </w:p>
    <w:p w14:paraId="4871790D" w14:textId="77777777" w:rsidR="00A3466F" w:rsidRDefault="00A3466F" w:rsidP="00A3466F">
      <w:pPr>
        <w:pStyle w:val="NoSpacing"/>
      </w:pPr>
      <w:r>
        <w:t xml:space="preserve">National Waterways Museum Ellesmere Port </w:t>
      </w:r>
    </w:p>
    <w:p w14:paraId="443DD232" w14:textId="77777777" w:rsidR="00A3466F" w:rsidRDefault="00A3466F" w:rsidP="00A3466F">
      <w:pPr>
        <w:pStyle w:val="NoSpacing"/>
      </w:pPr>
      <w:r>
        <w:t xml:space="preserve">South Pier Road </w:t>
      </w:r>
    </w:p>
    <w:p w14:paraId="12B5A647" w14:textId="77777777" w:rsidR="00A3466F" w:rsidRDefault="00A3466F" w:rsidP="00A3466F">
      <w:pPr>
        <w:pStyle w:val="NoSpacing"/>
      </w:pPr>
      <w:r>
        <w:t xml:space="preserve">Ellesmere Port </w:t>
      </w:r>
    </w:p>
    <w:p w14:paraId="5DB8AAA9" w14:textId="77777777" w:rsidR="00A3466F" w:rsidRDefault="00A3466F" w:rsidP="00A3466F">
      <w:pPr>
        <w:pStyle w:val="NoSpacing"/>
      </w:pPr>
      <w:r>
        <w:t xml:space="preserve">Cheshire </w:t>
      </w:r>
    </w:p>
    <w:p w14:paraId="1078106E" w14:textId="77777777" w:rsidR="00A3466F" w:rsidRDefault="00A3466F" w:rsidP="00A3466F">
      <w:pPr>
        <w:pStyle w:val="NoSpacing"/>
      </w:pPr>
      <w:r>
        <w:t xml:space="preserve">CH65 4FW </w:t>
      </w:r>
    </w:p>
    <w:p w14:paraId="691B092D" w14:textId="77777777" w:rsidR="00A3466F" w:rsidRDefault="00A3466F" w:rsidP="00A3466F">
      <w:pPr>
        <w:pStyle w:val="NoSpacing"/>
      </w:pPr>
      <w:r>
        <w:t xml:space="preserve">canalrivertrust.org.uk </w:t>
      </w:r>
    </w:p>
    <w:p w14:paraId="4D3BEC8C" w14:textId="77777777" w:rsidR="00A3466F" w:rsidRDefault="00A3466F" w:rsidP="00A3466F">
      <w:pPr>
        <w:pStyle w:val="NoSpacing"/>
      </w:pPr>
      <w:r>
        <w:t xml:space="preserve">0303 040 4040 </w:t>
      </w:r>
    </w:p>
    <w:p w14:paraId="0EEE919A" w14:textId="77777777" w:rsidR="00A3466F" w:rsidRDefault="00A3466F" w:rsidP="00A3466F">
      <w:pPr>
        <w:pStyle w:val="NoSpacing"/>
      </w:pPr>
    </w:p>
    <w:p w14:paraId="71547325" w14:textId="77777777" w:rsidR="00A3466F" w:rsidRDefault="00A3466F" w:rsidP="00A3466F">
      <w:pPr>
        <w:pStyle w:val="NoSpacing"/>
      </w:pPr>
      <w:r>
        <w:t xml:space="preserve">The Canal &amp; River Trust is a charitable company limited by guarantee registered in England &amp; Wales with company number 07807276 and charity number 1146792. </w:t>
      </w:r>
    </w:p>
    <w:p w14:paraId="4FD2471B" w14:textId="77777777" w:rsidR="00A3466F" w:rsidRDefault="00A3466F" w:rsidP="00A3466F">
      <w:pPr>
        <w:pStyle w:val="NoSpacing"/>
      </w:pPr>
    </w:p>
    <w:p w14:paraId="50FEA99B" w14:textId="77777777" w:rsidR="00A3466F" w:rsidRDefault="00A3466F" w:rsidP="00A3466F">
      <w:pPr>
        <w:pStyle w:val="NoSpacing"/>
      </w:pPr>
      <w:r>
        <w:t>All information correct at the time of publication.</w:t>
      </w:r>
    </w:p>
    <w:p w14:paraId="46BAEFC6" w14:textId="77777777" w:rsidR="00B36AB8" w:rsidRDefault="00B36AB8"/>
    <w:sectPr w:rsidR="00B36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4035B"/>
    <w:multiLevelType w:val="hybridMultilevel"/>
    <w:tmpl w:val="BEB6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33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6F"/>
    <w:rsid w:val="002074F5"/>
    <w:rsid w:val="003D2339"/>
    <w:rsid w:val="00442595"/>
    <w:rsid w:val="00655A40"/>
    <w:rsid w:val="0070707E"/>
    <w:rsid w:val="00906E6B"/>
    <w:rsid w:val="009B4707"/>
    <w:rsid w:val="00A12A03"/>
    <w:rsid w:val="00A3466F"/>
    <w:rsid w:val="00A96460"/>
    <w:rsid w:val="00AB568D"/>
    <w:rsid w:val="00B36AB8"/>
    <w:rsid w:val="00C1656D"/>
    <w:rsid w:val="00CE0BF8"/>
    <w:rsid w:val="00DE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3245"/>
  <w15:chartTrackingRefBased/>
  <w15:docId w15:val="{ADAB2D2D-7B41-4CE9-A1DB-C32FECB6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6F"/>
    <w:rPr>
      <w:kern w:val="0"/>
      <w14:ligatures w14:val="none"/>
    </w:rPr>
  </w:style>
  <w:style w:type="paragraph" w:styleId="Heading1">
    <w:name w:val="heading 1"/>
    <w:basedOn w:val="Normal"/>
    <w:next w:val="Normal"/>
    <w:link w:val="Heading1Char"/>
    <w:uiPriority w:val="9"/>
    <w:qFormat/>
    <w:rsid w:val="00A34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66F"/>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A3466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66F"/>
    <w:rPr>
      <w:color w:val="0563C1" w:themeColor="hyperlink"/>
      <w:u w:val="single"/>
    </w:rPr>
  </w:style>
  <w:style w:type="character" w:styleId="CommentReference">
    <w:name w:val="annotation reference"/>
    <w:basedOn w:val="DefaultParagraphFont"/>
    <w:uiPriority w:val="99"/>
    <w:semiHidden/>
    <w:unhideWhenUsed/>
    <w:rsid w:val="00A3466F"/>
    <w:rPr>
      <w:sz w:val="16"/>
      <w:szCs w:val="16"/>
    </w:rPr>
  </w:style>
  <w:style w:type="paragraph" w:styleId="CommentText">
    <w:name w:val="annotation text"/>
    <w:basedOn w:val="Normal"/>
    <w:link w:val="CommentTextChar"/>
    <w:uiPriority w:val="99"/>
    <w:unhideWhenUsed/>
    <w:rsid w:val="00A3466F"/>
    <w:pPr>
      <w:spacing w:line="240" w:lineRule="auto"/>
    </w:pPr>
    <w:rPr>
      <w:sz w:val="20"/>
      <w:szCs w:val="20"/>
    </w:rPr>
  </w:style>
  <w:style w:type="character" w:customStyle="1" w:styleId="CommentTextChar">
    <w:name w:val="Comment Text Char"/>
    <w:basedOn w:val="DefaultParagraphFont"/>
    <w:link w:val="CommentText"/>
    <w:uiPriority w:val="99"/>
    <w:rsid w:val="00A3466F"/>
    <w:rPr>
      <w:kern w:val="0"/>
      <w:sz w:val="20"/>
      <w:szCs w:val="20"/>
      <w14:ligatures w14:val="none"/>
    </w:rPr>
  </w:style>
  <w:style w:type="paragraph" w:styleId="ListParagraph">
    <w:name w:val="List Paragraph"/>
    <w:basedOn w:val="Normal"/>
    <w:uiPriority w:val="34"/>
    <w:qFormat/>
    <w:rsid w:val="00A3466F"/>
    <w:pPr>
      <w:ind w:left="720"/>
      <w:contextualSpacing/>
    </w:pPr>
  </w:style>
  <w:style w:type="paragraph" w:styleId="NoSpacing">
    <w:name w:val="No Spacing"/>
    <w:uiPriority w:val="1"/>
    <w:qFormat/>
    <w:rsid w:val="00A3466F"/>
    <w:pPr>
      <w:spacing w:after="0" w:line="240" w:lineRule="auto"/>
    </w:pPr>
    <w:rPr>
      <w:kern w:val="0"/>
      <w14:ligatures w14:val="none"/>
    </w:rPr>
  </w:style>
  <w:style w:type="paragraph" w:styleId="TOCHeading">
    <w:name w:val="TOC Heading"/>
    <w:basedOn w:val="Heading1"/>
    <w:next w:val="Normal"/>
    <w:uiPriority w:val="39"/>
    <w:unhideWhenUsed/>
    <w:qFormat/>
    <w:rsid w:val="00A3466F"/>
    <w:pPr>
      <w:outlineLvl w:val="9"/>
    </w:pPr>
    <w:rPr>
      <w:lang w:val="en-US"/>
    </w:rPr>
  </w:style>
  <w:style w:type="paragraph" w:styleId="TOC1">
    <w:name w:val="toc 1"/>
    <w:basedOn w:val="Normal"/>
    <w:next w:val="Normal"/>
    <w:autoRedefine/>
    <w:uiPriority w:val="39"/>
    <w:unhideWhenUsed/>
    <w:rsid w:val="00A3466F"/>
    <w:pPr>
      <w:spacing w:after="100"/>
    </w:pPr>
  </w:style>
  <w:style w:type="paragraph" w:styleId="TOC2">
    <w:name w:val="toc 2"/>
    <w:basedOn w:val="Normal"/>
    <w:next w:val="Normal"/>
    <w:autoRedefine/>
    <w:uiPriority w:val="39"/>
    <w:unhideWhenUsed/>
    <w:rsid w:val="00A346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90c73a-ac79-44b0-bf7a-d33e80a5851e" xsi:nil="true"/>
    <_ip_UnifiedCompliancePolicyProperties xmlns="http://schemas.microsoft.com/sharepoint/v3" xsi:nil="true"/>
    <lcf76f155ced4ddcb4097134ff3c332f xmlns="030b6ebc-7ee9-495b-83d3-5fcf28bd60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E52DCF9B4D864397BC0BF1C6A01D30" ma:contentTypeVersion="18" ma:contentTypeDescription="Create a new document." ma:contentTypeScope="" ma:versionID="b28fc6abac7d2f2f95115d7eebc1dcbb">
  <xsd:schema xmlns:xsd="http://www.w3.org/2001/XMLSchema" xmlns:xs="http://www.w3.org/2001/XMLSchema" xmlns:p="http://schemas.microsoft.com/office/2006/metadata/properties" xmlns:ns1="http://schemas.microsoft.com/sharepoint/v3" xmlns:ns2="030b6ebc-7ee9-495b-83d3-5fcf28bd6074" xmlns:ns3="89224513-8226-452b-bc05-f0507f1157a5" xmlns:ns4="dd90c73a-ac79-44b0-bf7a-d33e80a5851e" targetNamespace="http://schemas.microsoft.com/office/2006/metadata/properties" ma:root="true" ma:fieldsID="1efe8d74f9b4a854bbf794fa17a42955" ns1:_="" ns2:_="" ns3:_="" ns4:_="">
    <xsd:import namespace="http://schemas.microsoft.com/sharepoint/v3"/>
    <xsd:import namespace="030b6ebc-7ee9-495b-83d3-5fcf28bd6074"/>
    <xsd:import namespace="89224513-8226-452b-bc05-f0507f1157a5"/>
    <xsd:import namespace="dd90c73a-ac79-44b0-bf7a-d33e80a58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b6ebc-7ee9-495b-83d3-5fcf28b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32ddf3a-50ee-4709-a4cd-5c43b516f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24513-8226-452b-bc05-f0507f1157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0c73a-ac79-44b0-bf7a-d33e80a5851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1a4c5d0-386c-4854-b7bf-2bb5d26972b8}" ma:internalName="TaxCatchAll" ma:showField="CatchAllData" ma:web="89224513-8226-452b-bc05-f0507f1157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A644E-E01B-46F2-966A-879C8A7D5CA0}">
  <ds:schemaRefs>
    <ds:schemaRef ds:uri="http://schemas.microsoft.com/sharepoint/v3/contenttype/forms"/>
  </ds:schemaRefs>
</ds:datastoreItem>
</file>

<file path=customXml/itemProps2.xml><?xml version="1.0" encoding="utf-8"?>
<ds:datastoreItem xmlns:ds="http://schemas.openxmlformats.org/officeDocument/2006/customXml" ds:itemID="{D49AF6AA-F3ED-4A72-B4AB-3841DED7FE04}">
  <ds:schemaRefs>
    <ds:schemaRef ds:uri="http://schemas.microsoft.com/office/2006/metadata/properties"/>
    <ds:schemaRef ds:uri="http://schemas.microsoft.com/office/infopath/2007/PartnerControls"/>
    <ds:schemaRef ds:uri="http://schemas.microsoft.com/sharepoint/v3"/>
    <ds:schemaRef ds:uri="dd90c73a-ac79-44b0-bf7a-d33e80a5851e"/>
    <ds:schemaRef ds:uri="030b6ebc-7ee9-495b-83d3-5fcf28bd6074"/>
  </ds:schemaRefs>
</ds:datastoreItem>
</file>

<file path=customXml/itemProps3.xml><?xml version="1.0" encoding="utf-8"?>
<ds:datastoreItem xmlns:ds="http://schemas.openxmlformats.org/officeDocument/2006/customXml" ds:itemID="{8E5A266F-022F-40BF-BD37-B1FB1A8A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0b6ebc-7ee9-495b-83d3-5fcf28bd6074"/>
    <ds:schemaRef ds:uri="89224513-8226-452b-bc05-f0507f1157a5"/>
    <ds:schemaRef ds:uri="dd90c73a-ac79-44b0-bf7a-d33e80a58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Bridgwood-Hill</dc:creator>
  <cp:keywords/>
  <dc:description/>
  <cp:lastModifiedBy>Eleanor Bridgwood-Hill</cp:lastModifiedBy>
  <cp:revision>10</cp:revision>
  <dcterms:created xsi:type="dcterms:W3CDTF">2023-04-18T11:03:00Z</dcterms:created>
  <dcterms:modified xsi:type="dcterms:W3CDTF">2023-05-30T14:50:00Z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0x0101005BE52DCF9B4D864397BC0BF1C6A01D30</vt:lpwstr>
  </property>
  <property fmtid="{D5CDD505-2E9C-101B-9397-08002B2CF9AE}" pid="3" name="MediaServiceImageTags">
    <vt:lpwstr/>
  </property>
</Properties>
</file>